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5D" w:rsidRPr="00102F7E" w:rsidRDefault="00EA005D" w:rsidP="007E4966">
      <w:pPr>
        <w:spacing w:after="0"/>
        <w:jc w:val="right"/>
        <w:rPr>
          <w:rFonts w:ascii="Arial" w:hAnsi="Arial" w:cs="Arial"/>
          <w:sz w:val="20"/>
          <w:szCs w:val="20"/>
        </w:rPr>
      </w:pPr>
      <w:bookmarkStart w:id="0" w:name="_GoBack"/>
      <w:bookmarkEnd w:id="0"/>
      <w:r w:rsidRPr="00102F7E">
        <w:rPr>
          <w:rFonts w:ascii="Arial" w:hAnsi="Arial" w:cs="Arial"/>
          <w:sz w:val="20"/>
          <w:szCs w:val="20"/>
        </w:rPr>
        <w:t>……………………….., dnia ……………</w:t>
      </w:r>
    </w:p>
    <w:p w:rsidR="00EA005D" w:rsidRPr="00102F7E" w:rsidRDefault="00EA005D" w:rsidP="007E4966">
      <w:pPr>
        <w:jc w:val="center"/>
        <w:rPr>
          <w:rFonts w:ascii="Arial" w:hAnsi="Arial" w:cs="Arial"/>
          <w:sz w:val="20"/>
          <w:szCs w:val="20"/>
        </w:rPr>
      </w:pPr>
      <w:r w:rsidRPr="00102F7E">
        <w:rPr>
          <w:rFonts w:ascii="Arial" w:hAnsi="Arial" w:cs="Arial"/>
          <w:sz w:val="20"/>
          <w:szCs w:val="20"/>
        </w:rPr>
        <w:tab/>
      </w:r>
      <w:r w:rsidRPr="00102F7E">
        <w:rPr>
          <w:rFonts w:ascii="Arial" w:hAnsi="Arial" w:cs="Arial"/>
          <w:sz w:val="20"/>
          <w:szCs w:val="20"/>
        </w:rPr>
        <w:tab/>
      </w:r>
      <w:r w:rsidRPr="00102F7E">
        <w:rPr>
          <w:rFonts w:ascii="Arial" w:hAnsi="Arial" w:cs="Arial"/>
          <w:sz w:val="20"/>
          <w:szCs w:val="20"/>
        </w:rPr>
        <w:tab/>
      </w: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jc w:val="center"/>
        <w:rPr>
          <w:rFonts w:ascii="Arial" w:hAnsi="Arial" w:cs="Arial"/>
          <w:b/>
        </w:rPr>
      </w:pPr>
      <w:r w:rsidRPr="00102F7E">
        <w:rPr>
          <w:rFonts w:ascii="Arial" w:hAnsi="Arial" w:cs="Arial"/>
          <w:b/>
        </w:rPr>
        <w:t xml:space="preserve">FORMULARZ KONSULTACJI </w:t>
      </w:r>
    </w:p>
    <w:p w:rsidR="00EA005D" w:rsidRPr="00102F7E" w:rsidRDefault="00EA005D" w:rsidP="007E4966">
      <w:pPr>
        <w:spacing w:after="0"/>
        <w:jc w:val="center"/>
        <w:rPr>
          <w:rFonts w:ascii="Arial" w:hAnsi="Arial" w:cs="Arial"/>
        </w:rPr>
      </w:pPr>
      <w:r w:rsidRPr="00102F7E">
        <w:rPr>
          <w:rFonts w:ascii="Arial" w:hAnsi="Arial" w:cs="Arial"/>
        </w:rPr>
        <w:t xml:space="preserve">z zainteresowanymi środowiskami </w:t>
      </w:r>
    </w:p>
    <w:p w:rsidR="00EA005D" w:rsidRPr="00102F7E" w:rsidRDefault="00EA005D" w:rsidP="007E4966">
      <w:pPr>
        <w:spacing w:after="120"/>
        <w:jc w:val="center"/>
        <w:rPr>
          <w:rFonts w:ascii="Arial" w:hAnsi="Arial" w:cs="Arial"/>
        </w:rPr>
      </w:pPr>
      <w:r w:rsidRPr="00102F7E">
        <w:rPr>
          <w:rFonts w:ascii="Arial" w:hAnsi="Arial" w:cs="Arial"/>
        </w:rPr>
        <w:t xml:space="preserve">wniosku o włączenie do Zintegrowanego Systemu Kwalifikacji, kwalifikacji rynkowej: </w:t>
      </w:r>
    </w:p>
    <w:p w:rsidR="00EA005D" w:rsidRPr="00877A10" w:rsidRDefault="005D56DB" w:rsidP="00877A10">
      <w:pPr>
        <w:spacing w:before="120" w:after="120"/>
        <w:jc w:val="center"/>
        <w:rPr>
          <w:i/>
        </w:rPr>
      </w:pPr>
      <w:r w:rsidRPr="005D56DB">
        <w:rPr>
          <w:i/>
        </w:rPr>
        <w:t>Wspieranie pracy wychowawczej szkoły poprzez opracowanie i wdrożenie działań mających na celu prewencję demoralizacji uczniów w szkole podstawowej</w:t>
      </w:r>
      <w:r w:rsidR="00EA005D" w:rsidRPr="00102F7E">
        <w:rPr>
          <w:rFonts w:ascii="Arial" w:hAnsi="Arial" w:cs="Arial"/>
        </w:rPr>
        <w:t>,</w:t>
      </w:r>
    </w:p>
    <w:p w:rsidR="00EA005D" w:rsidRPr="00102F7E" w:rsidRDefault="00EA005D" w:rsidP="007E4966">
      <w:pPr>
        <w:spacing w:before="120" w:after="120"/>
        <w:jc w:val="center"/>
        <w:rPr>
          <w:rFonts w:ascii="Arial" w:hAnsi="Arial" w:cs="Arial"/>
        </w:rPr>
      </w:pPr>
      <w:r w:rsidRPr="00102F7E">
        <w:rPr>
          <w:rFonts w:ascii="Arial" w:hAnsi="Arial" w:cs="Arial"/>
        </w:rPr>
        <w:t xml:space="preserve">złożonego przez </w:t>
      </w:r>
    </w:p>
    <w:p w:rsidR="00EA005D" w:rsidRPr="00102F7E" w:rsidRDefault="00877A10" w:rsidP="007E4966">
      <w:pPr>
        <w:spacing w:before="120" w:after="120"/>
        <w:jc w:val="center"/>
        <w:rPr>
          <w:rFonts w:ascii="Arial" w:hAnsi="Arial" w:cs="Arial"/>
        </w:rPr>
      </w:pPr>
      <w:r w:rsidRPr="00877A10">
        <w:rPr>
          <w:i/>
        </w:rPr>
        <w:t>SWPS Uniwersytet Humanistycznospołeczny</w:t>
      </w:r>
      <w:r w:rsidR="00EA005D" w:rsidRPr="00102F7E">
        <w:rPr>
          <w:rFonts w:ascii="Arial" w:hAnsi="Arial" w:cs="Arial"/>
        </w:rPr>
        <w:t>.</w:t>
      </w:r>
    </w:p>
    <w:p w:rsidR="00EA005D" w:rsidRPr="00102F7E" w:rsidRDefault="00EA005D" w:rsidP="007E4966">
      <w:pPr>
        <w:spacing w:after="0"/>
        <w:jc w:val="center"/>
        <w:rPr>
          <w:rFonts w:ascii="Arial" w:hAnsi="Arial" w:cs="Arial"/>
        </w:rPr>
      </w:pPr>
      <w:r w:rsidRPr="00102F7E">
        <w:rPr>
          <w:rFonts w:ascii="Arial" w:hAnsi="Arial" w:cs="Arial"/>
        </w:rPr>
        <w:t>Konsultacje są prowadzone zgodnie z art. 19 ust. 1 ustawy z dnia 22 grudnia 2015 r. o Zintegrowanym Systemie Kwalifikacji</w:t>
      </w:r>
      <w:r w:rsidRPr="00102F7E">
        <w:rPr>
          <w:rStyle w:val="Odwoanieprzypisudolnego"/>
          <w:rFonts w:ascii="Arial" w:hAnsi="Arial" w:cs="Arial"/>
        </w:rPr>
        <w:footnoteReference w:id="1"/>
      </w: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rPr>
          <w:rFonts w:ascii="Arial" w:hAnsi="Arial" w:cs="Arial"/>
          <w:b/>
          <w:i/>
          <w:sz w:val="18"/>
          <w:szCs w:val="20"/>
        </w:rPr>
      </w:pPr>
    </w:p>
    <w:p w:rsidR="00EA005D" w:rsidRPr="00102F7E" w:rsidRDefault="00EA005D" w:rsidP="007E4966">
      <w:pPr>
        <w:spacing w:after="0"/>
        <w:rPr>
          <w:rFonts w:ascii="Arial" w:hAnsi="Arial" w:cs="Arial"/>
          <w:b/>
          <w:i/>
          <w:sz w:val="18"/>
          <w:szCs w:val="20"/>
        </w:rPr>
      </w:pPr>
      <w:r w:rsidRPr="00102F7E">
        <w:rPr>
          <w:rFonts w:ascii="Arial" w:hAnsi="Arial" w:cs="Arial"/>
          <w:b/>
          <w:i/>
          <w:sz w:val="18"/>
          <w:szCs w:val="20"/>
        </w:rPr>
        <w:t>Informacje kontaktowe:</w:t>
      </w:r>
    </w:p>
    <w:tbl>
      <w:tblPr>
        <w:tblStyle w:val="TableGridLight1"/>
        <w:tblW w:w="9230" w:type="dxa"/>
        <w:tblLayout w:type="fixed"/>
        <w:tblLook w:val="04A0" w:firstRow="1" w:lastRow="0" w:firstColumn="1" w:lastColumn="0" w:noHBand="0" w:noVBand="1"/>
      </w:tblPr>
      <w:tblGrid>
        <w:gridCol w:w="2802"/>
        <w:gridCol w:w="6428"/>
      </w:tblGrid>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Imię i nazwisko</w:t>
            </w:r>
          </w:p>
        </w:tc>
        <w:tc>
          <w:tcPr>
            <w:tcW w:w="6428" w:type="dxa"/>
            <w:hideMark/>
          </w:tcPr>
          <w:p w:rsidR="00EA005D" w:rsidRPr="00102F7E" w:rsidRDefault="00EA005D" w:rsidP="007E4966">
            <w:pPr>
              <w:snapToGrid w:val="0"/>
              <w:spacing w:line="276" w:lineRule="auto"/>
              <w:rPr>
                <w:rFonts w:ascii="Arial" w:hAnsi="Arial" w:cs="Arial"/>
                <w:szCs w:val="20"/>
                <w:lang w:val="pl-PL"/>
              </w:rPr>
            </w:pP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Instytucja / Organizacja wyrażająca opinię</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 xml:space="preserve">Adres </w:t>
            </w:r>
          </w:p>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w:t>
            </w:r>
            <w:r w:rsidRPr="00102F7E">
              <w:rPr>
                <w:rFonts w:ascii="Arial" w:hAnsi="Arial" w:cs="Arial"/>
                <w:i/>
                <w:sz w:val="16"/>
                <w:szCs w:val="16"/>
                <w:lang w:val="pl-PL"/>
              </w:rPr>
              <w:t>tylko w przypadku instytucji/organizacji)</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Tel./fax</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e- mail</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bl>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pStyle w:val="Akapitzlist"/>
        <w:numPr>
          <w:ilvl w:val="0"/>
          <w:numId w:val="2"/>
        </w:numPr>
        <w:jc w:val="both"/>
        <w:rPr>
          <w:rFonts w:ascii="Arial" w:hAnsi="Arial" w:cs="Arial"/>
          <w:sz w:val="20"/>
          <w:szCs w:val="20"/>
        </w:rPr>
      </w:pPr>
      <w:r w:rsidRPr="00102F7E">
        <w:rPr>
          <w:rFonts w:ascii="Arial" w:hAnsi="Arial" w:cs="Arial"/>
          <w:sz w:val="20"/>
          <w:szCs w:val="20"/>
        </w:rPr>
        <w:t>Opinia ogólna dotycząca wniosku o włączenia kwalifikacji do ZSK:</w:t>
      </w:r>
    </w:p>
    <w:p w:rsidR="00EA005D" w:rsidRPr="00102F7E" w:rsidRDefault="00EA005D" w:rsidP="007E4966">
      <w:pPr>
        <w:jc w:val="right"/>
        <w:rPr>
          <w:rFonts w:ascii="Arial" w:hAnsi="Arial" w:cs="Arial"/>
          <w:sz w:val="20"/>
          <w:szCs w:val="20"/>
        </w:rPr>
        <w:sectPr w:rsidR="00EA005D" w:rsidRPr="00102F7E" w:rsidSect="00A94906">
          <w:footerReference w:type="default" r:id="rId7"/>
          <w:pgSz w:w="11906" w:h="16838"/>
          <w:pgMar w:top="1560" w:right="1417" w:bottom="1417" w:left="1417" w:header="1073" w:footer="708" w:gutter="0"/>
          <w:cols w:space="708"/>
          <w:titlePg/>
          <w:docGrid w:linePitch="360"/>
        </w:sectPr>
      </w:pPr>
      <w:r w:rsidRPr="00102F7E">
        <w:rPr>
          <w:rFonts w:ascii="Arial" w:hAnsi="Arial" w:cs="Arial"/>
          <w:sz w:val="20"/>
          <w:szCs w:val="20"/>
        </w:rPr>
        <w:t>............................................................................................................................................................................................................................................................................................................................................................................................................................................................................................................................................................................................................................................................................</w:t>
      </w:r>
    </w:p>
    <w:p w:rsidR="00EA005D" w:rsidRPr="00102F7E" w:rsidRDefault="00EA005D" w:rsidP="007E4966">
      <w:pPr>
        <w:jc w:val="both"/>
        <w:rPr>
          <w:rFonts w:ascii="Arial" w:hAnsi="Arial" w:cs="Arial"/>
          <w:sz w:val="20"/>
          <w:szCs w:val="20"/>
        </w:rPr>
      </w:pPr>
      <w:r w:rsidRPr="00102F7E">
        <w:rPr>
          <w:rFonts w:ascii="Arial" w:hAnsi="Arial" w:cs="Arial"/>
          <w:sz w:val="20"/>
          <w:szCs w:val="20"/>
        </w:rPr>
        <w:lastRenderedPageBreak/>
        <w:t xml:space="preserve"> </w:t>
      </w:r>
    </w:p>
    <w:p w:rsidR="00EA005D" w:rsidRPr="00102F7E" w:rsidRDefault="00EA005D" w:rsidP="007E4966">
      <w:pPr>
        <w:pStyle w:val="Akapitzlist"/>
        <w:numPr>
          <w:ilvl w:val="0"/>
          <w:numId w:val="1"/>
        </w:numPr>
        <w:jc w:val="both"/>
        <w:rPr>
          <w:rFonts w:ascii="Arial" w:hAnsi="Arial" w:cs="Arial"/>
          <w:sz w:val="20"/>
          <w:szCs w:val="20"/>
        </w:rPr>
      </w:pPr>
      <w:r w:rsidRPr="00102F7E">
        <w:rPr>
          <w:rFonts w:ascii="Arial" w:hAnsi="Arial" w:cs="Arial"/>
          <w:sz w:val="20"/>
          <w:szCs w:val="20"/>
        </w:rPr>
        <w:t>Opinie dotyczące poszczególnych fragmentów wniosku:</w:t>
      </w:r>
    </w:p>
    <w:tbl>
      <w:tblPr>
        <w:tblStyle w:val="TableGridLight1"/>
        <w:tblW w:w="14732" w:type="dxa"/>
        <w:tblLook w:val="04A0" w:firstRow="1" w:lastRow="0" w:firstColumn="1" w:lastColumn="0" w:noHBand="0" w:noVBand="1"/>
      </w:tblPr>
      <w:tblGrid>
        <w:gridCol w:w="562"/>
        <w:gridCol w:w="6941"/>
        <w:gridCol w:w="7229"/>
      </w:tblGrid>
      <w:tr w:rsidR="00EA005D" w:rsidRPr="00102F7E" w:rsidTr="00157852">
        <w:trPr>
          <w:trHeight w:val="680"/>
        </w:trPr>
        <w:tc>
          <w:tcPr>
            <w:tcW w:w="562" w:type="dxa"/>
            <w:shd w:val="clear" w:color="auto" w:fill="F2F2F2" w:themeFill="background1" w:themeFillShade="F2"/>
            <w:vAlign w:val="center"/>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Lp.</w:t>
            </w:r>
          </w:p>
        </w:tc>
        <w:tc>
          <w:tcPr>
            <w:tcW w:w="6941"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Opiniowany fragment wniosku</w:t>
            </w:r>
          </w:p>
          <w:p w:rsidR="00EA005D" w:rsidRPr="00102F7E" w:rsidRDefault="00EA005D" w:rsidP="007E4966">
            <w:pPr>
              <w:spacing w:line="276" w:lineRule="auto"/>
              <w:jc w:val="center"/>
              <w:rPr>
                <w:rFonts w:ascii="Arial" w:hAnsi="Arial" w:cs="Arial"/>
                <w:bCs/>
                <w:i/>
                <w:sz w:val="24"/>
                <w:szCs w:val="20"/>
                <w:lang w:val="pl-PL"/>
              </w:rPr>
            </w:pPr>
            <w:r w:rsidRPr="00102F7E">
              <w:rPr>
                <w:rFonts w:ascii="Arial" w:hAnsi="Arial" w:cs="Arial"/>
                <w:sz w:val="18"/>
                <w:szCs w:val="18"/>
                <w:lang w:val="pl-PL"/>
              </w:rPr>
              <w:t xml:space="preserve"> (strona, akapit)</w:t>
            </w:r>
          </w:p>
        </w:tc>
        <w:tc>
          <w:tcPr>
            <w:tcW w:w="7229"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color w:val="000000"/>
                <w:sz w:val="18"/>
                <w:szCs w:val="18"/>
                <w:lang w:val="pl-PL"/>
              </w:rPr>
            </w:pPr>
            <w:r w:rsidRPr="00102F7E">
              <w:rPr>
                <w:rFonts w:ascii="Arial" w:hAnsi="Arial" w:cs="Arial"/>
                <w:b/>
                <w:color w:val="000000"/>
                <w:sz w:val="18"/>
                <w:szCs w:val="18"/>
                <w:lang w:val="pl-PL"/>
              </w:rPr>
              <w:t>Treść zgłoszonej opinii</w:t>
            </w:r>
          </w:p>
          <w:p w:rsidR="00EA005D" w:rsidRPr="00102F7E" w:rsidRDefault="00EA005D" w:rsidP="007E4966">
            <w:pPr>
              <w:spacing w:line="276" w:lineRule="auto"/>
              <w:jc w:val="center"/>
              <w:rPr>
                <w:rFonts w:ascii="Arial" w:hAnsi="Arial" w:cs="Arial"/>
                <w:sz w:val="24"/>
                <w:szCs w:val="20"/>
                <w:lang w:val="pl-PL"/>
              </w:rPr>
            </w:pPr>
            <w:r w:rsidRPr="00102F7E">
              <w:rPr>
                <w:rFonts w:ascii="Arial" w:hAnsi="Arial" w:cs="Arial"/>
                <w:color w:val="000000"/>
                <w:sz w:val="18"/>
                <w:szCs w:val="18"/>
                <w:lang w:val="pl-PL"/>
              </w:rPr>
              <w:t>(propozycja zmiany, komentarz)</w:t>
            </w:r>
          </w:p>
        </w:tc>
      </w:tr>
      <w:tr w:rsidR="00EA005D" w:rsidRPr="00102F7E" w:rsidTr="00102F7E">
        <w:trPr>
          <w:trHeight w:val="353"/>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 xml:space="preserve">Nazwa kwalifikacji: </w:t>
            </w:r>
            <w:r w:rsidR="005D56DB" w:rsidRPr="005D56DB">
              <w:rPr>
                <w:rFonts w:ascii="Arial" w:hAnsi="Arial" w:cs="Arial"/>
                <w:bCs/>
                <w:sz w:val="18"/>
                <w:szCs w:val="20"/>
                <w:lang w:val="pl-PL"/>
              </w:rPr>
              <w:t>Wspieranie pracy wychowawczej szkoły poprzez opracowanie i wdrożenie działań mających na celu prewencję demoralizacji uczniów w szkole podstawowej</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1"/>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Proponowany poziom Polskiej Ramy Kwalifikacji:</w:t>
            </w:r>
            <w:r w:rsidR="005D56DB">
              <w:rPr>
                <w:rFonts w:ascii="Arial" w:hAnsi="Arial" w:cs="Arial"/>
                <w:bCs/>
                <w:sz w:val="18"/>
                <w:szCs w:val="20"/>
                <w:lang w:val="pl-PL"/>
              </w:rPr>
              <w:t xml:space="preserve"> 6</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57852">
        <w:trPr>
          <w:trHeight w:val="107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Krótka charakterystyka kwalifikacji oraz orientacyjny koszt uzyskania dokumentu potwierdzającego otrzymanie danej kwalifikacji:</w:t>
            </w:r>
          </w:p>
          <w:p w:rsidR="00102F7E" w:rsidRPr="00102F7E" w:rsidRDefault="00102F7E" w:rsidP="007E4966">
            <w:pPr>
              <w:spacing w:line="276" w:lineRule="auto"/>
              <w:jc w:val="both"/>
              <w:rPr>
                <w:rFonts w:ascii="Arial" w:hAnsi="Arial" w:cs="Arial"/>
                <w:bCs/>
                <w:sz w:val="18"/>
                <w:szCs w:val="20"/>
                <w:lang w:val="pl-PL"/>
              </w:rPr>
            </w:pPr>
          </w:p>
          <w:p w:rsidR="00EA005D" w:rsidRPr="00102F7E" w:rsidRDefault="005D56DB" w:rsidP="007E4966">
            <w:pPr>
              <w:spacing w:line="276" w:lineRule="auto"/>
              <w:jc w:val="both"/>
              <w:rPr>
                <w:rFonts w:ascii="Arial" w:hAnsi="Arial" w:cs="Arial"/>
                <w:bCs/>
                <w:sz w:val="18"/>
                <w:szCs w:val="20"/>
                <w:lang w:val="pl-PL"/>
              </w:rPr>
            </w:pPr>
            <w:r w:rsidRPr="005D56DB">
              <w:rPr>
                <w:rFonts w:ascii="Arial" w:hAnsi="Arial" w:cs="Arial"/>
                <w:bCs/>
                <w:sz w:val="18"/>
                <w:szCs w:val="20"/>
                <w:lang w:val="pl-PL"/>
              </w:rPr>
              <w:t xml:space="preserve">Osoba posiadająca kwalifikację „Wspieranie pracy wychowawczej szkoły, poprzez opracowanie i wdrożenie działań mających na celu prewencję demoralizacji uczniów w szkole podstawowej” jest przygotowana do podejmowania działań, których celem jest: (a) prewencja przejawów demoralizacji wśród uczniów szkół podstawowych na poziomie klasy (prewencja uniwersalna); (b) prewencja i planowanie interwencji indywidualnych w przypadku uczniów znajdujących się w grupie szczególnego ryzyka demoralizacji (prewencja selektywna). Swoje działania kieruje do zespołów klasowych oraz do indywidualnych uczniów. Analizuje i diagnozuje zachowania problemowe, a następnie projektuje działania prewencyjne. Zadania skierowane do grupy (klasy) obejmują: (a) analizę (wspólnie z grupą/klasą) </w:t>
            </w:r>
            <w:proofErr w:type="spellStart"/>
            <w:r w:rsidRPr="005D56DB">
              <w:rPr>
                <w:rFonts w:ascii="Arial" w:hAnsi="Arial" w:cs="Arial"/>
                <w:bCs/>
                <w:sz w:val="18"/>
                <w:szCs w:val="20"/>
                <w:lang w:val="pl-PL"/>
              </w:rPr>
              <w:t>zachowań</w:t>
            </w:r>
            <w:proofErr w:type="spellEnd"/>
            <w:r w:rsidRPr="005D56DB">
              <w:rPr>
                <w:rFonts w:ascii="Arial" w:hAnsi="Arial" w:cs="Arial"/>
                <w:bCs/>
                <w:sz w:val="18"/>
                <w:szCs w:val="20"/>
                <w:lang w:val="pl-PL"/>
              </w:rPr>
              <w:t xml:space="preserve"> problemowych, mogących stanowić przejawy demoralizacji; (b) zaprojektowanie oraz wdrażanie programu prewencyjnego na poziomie grupy (klasy) z uwzględnieniem jej potrzeb. Natomiast zadania indywidualne skierowane do uczniów obejmują: (a) diagnozę pod względem występowania czynników ryzyka demoralizacji, a także czynników ochronnych w biografii i sytuacji/środowisku ucznia; (b) analizę </w:t>
            </w:r>
            <w:proofErr w:type="spellStart"/>
            <w:r w:rsidRPr="005D56DB">
              <w:rPr>
                <w:rFonts w:ascii="Arial" w:hAnsi="Arial" w:cs="Arial"/>
                <w:bCs/>
                <w:sz w:val="18"/>
                <w:szCs w:val="20"/>
                <w:lang w:val="pl-PL"/>
              </w:rPr>
              <w:t>zachowań</w:t>
            </w:r>
            <w:proofErr w:type="spellEnd"/>
            <w:r w:rsidRPr="005D56DB">
              <w:rPr>
                <w:rFonts w:ascii="Arial" w:hAnsi="Arial" w:cs="Arial"/>
                <w:bCs/>
                <w:sz w:val="18"/>
                <w:szCs w:val="20"/>
                <w:lang w:val="pl-PL"/>
              </w:rPr>
              <w:t xml:space="preserve"> indywidualnych uczniów, w celu dokonania diagnozy wczesnych przejawów demoralizacji; (c) zaangażowania innych podmiotów w działania na rzecz ucznia (np. rodziców); (d) formułowanie propozycji oddziaływań względem ucznia (w interdyscyplinarnej współpracy z nauczycielami, pedagogami szkolnymi, psychologami itp.). Osoby posiadające tę kwalifikację są przygotowane do podejmowania działań profilaktycznych i interwencyjnych na terenie szkół podstawowych. Koszt uzyskania kwalifikacji 2350 złotych. </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Orientacyjny nakład pracy potrzebny do uzyskania kwalifikacji [godz.]:</w:t>
            </w:r>
            <w:r w:rsidR="005D56DB">
              <w:rPr>
                <w:rFonts w:ascii="Arial" w:hAnsi="Arial" w:cs="Arial"/>
                <w:bCs/>
                <w:sz w:val="18"/>
                <w:szCs w:val="20"/>
                <w:lang w:val="pl-PL"/>
              </w:rPr>
              <w:t xml:space="preserve"> 320</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Grupy osób, które mogą być zainteresowane uzyskaniem kwalifikacji:</w:t>
            </w:r>
          </w:p>
          <w:p w:rsidR="00102F7E" w:rsidRPr="00102F7E" w:rsidRDefault="005D56DB" w:rsidP="001F1052">
            <w:pPr>
              <w:spacing w:line="276" w:lineRule="auto"/>
              <w:jc w:val="both"/>
              <w:rPr>
                <w:rFonts w:ascii="Arial" w:hAnsi="Arial" w:cs="Arial"/>
                <w:bCs/>
                <w:sz w:val="18"/>
                <w:szCs w:val="20"/>
                <w:lang w:val="pl-PL"/>
              </w:rPr>
            </w:pPr>
            <w:r w:rsidRPr="005D56DB">
              <w:rPr>
                <w:rFonts w:ascii="Arial" w:hAnsi="Arial" w:cs="Arial"/>
                <w:bCs/>
                <w:sz w:val="18"/>
                <w:szCs w:val="20"/>
                <w:lang w:val="pl-PL"/>
              </w:rPr>
              <w:t>Uzyskaniem kwalifikacji mogą być szczególnie zainteresowani nauczyciele przedmiotowi w szkołach podstawowych, nauczyciele pełniący funkcję (lub przygotowujący się do pełnienia funkcji) wychowawców klas w szkołach podstawowych, pedagodzy i psychologowie szkolni.</w:t>
            </w:r>
            <w:r w:rsidR="001F1052">
              <w:rPr>
                <w:rFonts w:ascii="Arial" w:hAnsi="Arial" w:cs="Arial"/>
                <w:bCs/>
                <w:sz w:val="18"/>
                <w:szCs w:val="20"/>
                <w:lang w:val="pl-PL"/>
              </w:rPr>
              <w:t>.</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37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Wymagane kwalifikacje poprzedzające</w:t>
            </w:r>
            <w:r>
              <w:rPr>
                <w:rFonts w:ascii="Arial" w:hAnsi="Arial" w:cs="Arial"/>
                <w:b/>
                <w:bCs/>
                <w:sz w:val="18"/>
                <w:szCs w:val="20"/>
                <w:lang w:val="pl-PL"/>
              </w:rPr>
              <w:t xml:space="preserve">: </w:t>
            </w:r>
            <w:r w:rsidR="0051112A" w:rsidRPr="0051112A">
              <w:rPr>
                <w:rFonts w:ascii="Arial" w:hAnsi="Arial" w:cs="Arial"/>
                <w:bCs/>
                <w:sz w:val="18"/>
                <w:szCs w:val="20"/>
                <w:lang w:val="pl-PL"/>
              </w:rPr>
              <w:t>Kwalifikacja pełna z minimum 6 poziomem PRK</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 razie potrzeby warunki, jakie musi spełniać osoba przystępująca do walidacji:</w:t>
            </w:r>
          </w:p>
          <w:p w:rsidR="00102F7E" w:rsidRPr="001F1052" w:rsidRDefault="0051112A" w:rsidP="001F1052">
            <w:pPr>
              <w:jc w:val="both"/>
              <w:rPr>
                <w:rFonts w:ascii="Arial" w:hAnsi="Arial" w:cs="Arial"/>
                <w:bCs/>
                <w:sz w:val="18"/>
                <w:szCs w:val="20"/>
                <w:lang w:val="pl-PL"/>
              </w:rPr>
            </w:pPr>
            <w:r w:rsidRPr="0051112A">
              <w:rPr>
                <w:rFonts w:ascii="Arial" w:hAnsi="Arial" w:cs="Arial"/>
                <w:bCs/>
                <w:sz w:val="18"/>
                <w:szCs w:val="20"/>
                <w:lang w:val="pl-PL"/>
              </w:rPr>
              <w:t>Do walidacji przystąpić mogą jedynie osoby: • posiadające kwalifikację pełną z minimum 6 poziomem PRK; • aktualnie zatrudnione w szkole podstawowej na stanowisku nauczyciela lub aktualnie zatrudnione w szkole podstawowej na stanowisku pedagoga szkolnego, lub aktualnie zatrudnione w szkole podstawowej na stanowisku psychologa szkolnego.</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56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Zapotrzebowanie na kwalifikację:</w:t>
            </w:r>
          </w:p>
          <w:p w:rsidR="00102F7E" w:rsidRPr="00102F7E"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Demoralizacja (nieprzystosowanie społeczne) dzieci i młodzieży stanowi niezmiennie istotny problem społeczny. Tę grupę wiekową dotykają takie problemy, jak: problemy szkolne (wagarowanie, niepowodzenia szkolne, powtarzanie klasy, niesubordynacja), agresja (werbalna – wulgaryzmy, niewerbalna – przemoc) i autoagresja, uzależnienia od tytoniu, alkoholu, narkotyków, dopalaczy, ucieczki z domu, kontakty ze środowiskiem osób zdemoralizowanych i wiele innych. Choć w latach 2000-2014 zmniejszyła się liczebność populacji nastolatków o ok. 40%, w tym samym okresie liczba spraw dotyczących nieletnich spadła w sądach rodzinnych zaledwie o około 7,5% (Noszczyk-</w:t>
            </w:r>
            <w:proofErr w:type="spellStart"/>
            <w:r w:rsidRPr="0051112A">
              <w:rPr>
                <w:rFonts w:ascii="Arial" w:hAnsi="Arial" w:cs="Arial"/>
                <w:bCs/>
                <w:sz w:val="18"/>
                <w:szCs w:val="20"/>
                <w:lang w:val="pl-PL"/>
              </w:rPr>
              <w:t>Bernasiewicz</w:t>
            </w:r>
            <w:proofErr w:type="spellEnd"/>
            <w:r w:rsidRPr="0051112A">
              <w:rPr>
                <w:rFonts w:ascii="Arial" w:hAnsi="Arial" w:cs="Arial"/>
                <w:bCs/>
                <w:sz w:val="18"/>
                <w:szCs w:val="20"/>
                <w:lang w:val="pl-PL"/>
              </w:rPr>
              <w:t>, 2016). Statystyki sugerują, że zmniejsza się liczba nieletnich popełniających czyny karalne, natomiast wzrasta liczba spraw wszczętych z powodu demoralizacji nieletnich (Ministerstwo Sprawiedliwości, 2016.) Dane statystyczne wskazują ponadto, że problem nieletnich, wobec których wszczęto postępowanie przed sądem, dotyczy coraz młodszych dzieci. W latach 2000-2014 liczba nieletnich poniżej 13 roku życia, którzy stają przed sądem wzrosła o 16% (Noszczyk-</w:t>
            </w:r>
            <w:proofErr w:type="spellStart"/>
            <w:r w:rsidRPr="0051112A">
              <w:rPr>
                <w:rFonts w:ascii="Arial" w:hAnsi="Arial" w:cs="Arial"/>
                <w:bCs/>
                <w:sz w:val="18"/>
                <w:szCs w:val="20"/>
                <w:lang w:val="pl-PL"/>
              </w:rPr>
              <w:t>Bernasiewicz</w:t>
            </w:r>
            <w:proofErr w:type="spellEnd"/>
            <w:r w:rsidRPr="0051112A">
              <w:rPr>
                <w:rFonts w:ascii="Arial" w:hAnsi="Arial" w:cs="Arial"/>
                <w:bCs/>
                <w:sz w:val="18"/>
                <w:szCs w:val="20"/>
                <w:lang w:val="pl-PL"/>
              </w:rPr>
              <w:t xml:space="preserve">, 2016). Zapobieganie, i zwalczanie demoralizacji to zadania ujęte w przepisach dotyczących wielu różnych instytucji – szkół, organów samorządowych, organizacji społecznych, wreszcie policji i sądu (ustawa z dnia 26.10.1982 roku o postępowaniu w sprawach nieletnich, Dz.U. z 1982, nr 35, poz. 228 z </w:t>
            </w:r>
            <w:proofErr w:type="spellStart"/>
            <w:r w:rsidRPr="0051112A">
              <w:rPr>
                <w:rFonts w:ascii="Arial" w:hAnsi="Arial" w:cs="Arial"/>
                <w:bCs/>
                <w:sz w:val="18"/>
                <w:szCs w:val="20"/>
                <w:lang w:val="pl-PL"/>
              </w:rPr>
              <w:t>późn</w:t>
            </w:r>
            <w:proofErr w:type="spellEnd"/>
            <w:r w:rsidRPr="0051112A">
              <w:rPr>
                <w:rFonts w:ascii="Arial" w:hAnsi="Arial" w:cs="Arial"/>
                <w:bCs/>
                <w:sz w:val="18"/>
                <w:szCs w:val="20"/>
                <w:lang w:val="pl-PL"/>
              </w:rPr>
              <w:t xml:space="preserve">. zm.; zarządzenie nr 1619 Komendanta Głównego Policji z 3.11.2010 roku w sprawie metod i form wykonywania zadań przez policjantów w zakresie przeciwdziałania demoralizacji i przestępczości </w:t>
            </w:r>
            <w:r w:rsidRPr="0051112A">
              <w:rPr>
                <w:rFonts w:ascii="Arial" w:hAnsi="Arial" w:cs="Arial"/>
                <w:bCs/>
                <w:sz w:val="18"/>
                <w:szCs w:val="20"/>
                <w:lang w:val="pl-PL"/>
              </w:rPr>
              <w:lastRenderedPageBreak/>
              <w:t xml:space="preserve">nieletnich oraz działań podejmowanych na rzecz małoletnich, Dz.U. KGP. z 2010, poz. 64 z </w:t>
            </w:r>
            <w:proofErr w:type="spellStart"/>
            <w:r w:rsidRPr="0051112A">
              <w:rPr>
                <w:rFonts w:ascii="Arial" w:hAnsi="Arial" w:cs="Arial"/>
                <w:bCs/>
                <w:sz w:val="18"/>
                <w:szCs w:val="20"/>
                <w:lang w:val="pl-PL"/>
              </w:rPr>
              <w:t>późń</w:t>
            </w:r>
            <w:proofErr w:type="spellEnd"/>
            <w:r w:rsidRPr="0051112A">
              <w:rPr>
                <w:rFonts w:ascii="Arial" w:hAnsi="Arial" w:cs="Arial"/>
                <w:bCs/>
                <w:sz w:val="18"/>
                <w:szCs w:val="20"/>
                <w:lang w:val="pl-PL"/>
              </w:rPr>
              <w:t>. zm.; rozporządzenie Ministra Edukacji Narodowej z dnia 18.08.2015 r. w sprawie zakresu i form prowadzenia w szkołach i placówkach systemu oświaty działalności wychowawczej, edukacyjnej, informacyjnej i profilaktycznej w celu przeciwdziałania narkomanii, Dz.U. 2015, poz. 1249; Krajowy Program Zapobiegania Niedostosowaniu Społecznemu i Przestępczości wśród Dzieci i Młodzieży – 2003-2013). Obowiązek podejmowania działań w zakresie przeciwdziałania i reagowania na przejawy demoralizacji i przestępczość nieletnich spoczywa na bardzo wielu podmiotach. Jednocześnie jest on rozproszony w licznych aktach prawnych, co może utrudniać podejmowanie właściwych (adekwatnych, podjętych we właściwym czasie) reakcji na niepokojące zachowania dzieci i młodzieży. Ustawa o postępowaniu w sprawach nieletnich (najważniejszy z aktów prawnych dotyczących postępowania z nieletnimi) w zasadzie milczeniem pomija kwestię wczesnej interwencji i prewencji w odniesieniu do adolescentów zagrożonych demoralizacją i przestępczością. Co szczególnie istotne, w większości krajów reakcja wymiaru sprawiedliwości wobec nieletniego możliwa jest jedynie wówczas, gdy nieletni dopuszcza się popełniania przestępstw (czynów karalnych), natomiast demoralizacją (czy nieprzystosowaniem społecznym) zajmują się inne instytucje, niż aparat szeroko rozumianego wymiaru sprawiedliwości (policja, prokuratura, sąd) (Wójcik, Buczkowski, Czabański i Jankowski, 2008). W literaturze kryminologicznej wskazuje się nawet, że oficjalne interwencje wobec nieletniego w okresie wczesnej adolescencji mogą być na tyle stygmatyzujące, że zamiast minimalizować problemy z prawem we wczesnej dorosłości – nasilają je (</w:t>
            </w:r>
            <w:proofErr w:type="spellStart"/>
            <w:r w:rsidRPr="0051112A">
              <w:rPr>
                <w:rFonts w:ascii="Arial" w:hAnsi="Arial" w:cs="Arial"/>
                <w:bCs/>
                <w:sz w:val="18"/>
                <w:szCs w:val="20"/>
                <w:lang w:val="pl-PL"/>
              </w:rPr>
              <w:t>Bernburg</w:t>
            </w:r>
            <w:proofErr w:type="spellEnd"/>
            <w:r w:rsidRPr="0051112A">
              <w:rPr>
                <w:rFonts w:ascii="Arial" w:hAnsi="Arial" w:cs="Arial"/>
                <w:bCs/>
                <w:sz w:val="18"/>
                <w:szCs w:val="20"/>
                <w:lang w:val="pl-PL"/>
              </w:rPr>
              <w:t xml:space="preserve"> i </w:t>
            </w:r>
            <w:proofErr w:type="spellStart"/>
            <w:r w:rsidRPr="0051112A">
              <w:rPr>
                <w:rFonts w:ascii="Arial" w:hAnsi="Arial" w:cs="Arial"/>
                <w:bCs/>
                <w:sz w:val="18"/>
                <w:szCs w:val="20"/>
                <w:lang w:val="pl-PL"/>
              </w:rPr>
              <w:t>Krohn</w:t>
            </w:r>
            <w:proofErr w:type="spellEnd"/>
            <w:r w:rsidRPr="0051112A">
              <w:rPr>
                <w:rFonts w:ascii="Arial" w:hAnsi="Arial" w:cs="Arial"/>
                <w:bCs/>
                <w:sz w:val="18"/>
                <w:szCs w:val="20"/>
                <w:lang w:val="pl-PL"/>
              </w:rPr>
              <w:t>, 2003). Wielu ekspertów podkreśla, że interwencja sądu rodzinnego powinna być traktowana jako ostateczność, po wyczerpaniu innych możliwości oddziaływania na młodych ludzi, a nawet postuluje się rezygnację z jej pojęcia, jak i z samej instytucji demoralizacji oraz reagowania na przejawy niedostosowania społecznego (aktualnie rozumiane jako przejawy demoralizacji) w ramach kodeksu rodzinnego i opiekuńczego – tym samym, czyniąc rodziców odpowiedzialnych za nieakceptowane zachowania młodzieży (</w:t>
            </w:r>
            <w:proofErr w:type="spellStart"/>
            <w:r w:rsidRPr="0051112A">
              <w:rPr>
                <w:rFonts w:ascii="Arial" w:hAnsi="Arial" w:cs="Arial"/>
                <w:bCs/>
                <w:sz w:val="18"/>
                <w:szCs w:val="20"/>
                <w:lang w:val="pl-PL"/>
              </w:rPr>
              <w:t>Czarnecka-Dzialuk</w:t>
            </w:r>
            <w:proofErr w:type="spellEnd"/>
            <w:r w:rsidRPr="0051112A">
              <w:rPr>
                <w:rFonts w:ascii="Arial" w:hAnsi="Arial" w:cs="Arial"/>
                <w:bCs/>
                <w:sz w:val="18"/>
                <w:szCs w:val="20"/>
                <w:lang w:val="pl-PL"/>
              </w:rPr>
              <w:t xml:space="preserve"> i Drapała, 2015). Co wszakże z młodzieżą pochodzącą z rodzin, które nie realizują prawidłowo swoich funkcji opiekuńczo-wychowawczych? W takich sytuacjach specjalną rolę do spełnienia ma szkoła. Wiele szkolnych programów, które określają procedury przeciwdziałania demoralizacji, są w istocie programami reagowania na przejawy demoralizacji. Jako że bazują na praktykach, wskazanych w przywołanym wcześniej Krajowym Programie Zapobiegania Niedostosowaniu Społecznemu i Przestępczości wśród Dzieci i Młodzieży, w większości przewidują stosunkowo sztywny sposób </w:t>
            </w:r>
            <w:r w:rsidRPr="0051112A">
              <w:rPr>
                <w:rFonts w:ascii="Arial" w:hAnsi="Arial" w:cs="Arial"/>
                <w:bCs/>
                <w:sz w:val="18"/>
                <w:szCs w:val="20"/>
                <w:lang w:val="pl-PL"/>
              </w:rPr>
              <w:lastRenderedPageBreak/>
              <w:t xml:space="preserve">postępowania dla nauczycieli. Alternatywą są programy z zakresu wczesnej profilaktyki demoralizacji i przestępczości wśród nieletnich. Badania wskazują na szczególnie dużą skuteczność programów z zakresu profilaktyki pierwszorzędowej (Hawkins i in. 2008; </w:t>
            </w:r>
            <w:proofErr w:type="spellStart"/>
            <w:r w:rsidRPr="0051112A">
              <w:rPr>
                <w:rFonts w:ascii="Arial" w:hAnsi="Arial" w:cs="Arial"/>
                <w:bCs/>
                <w:sz w:val="18"/>
                <w:szCs w:val="20"/>
                <w:lang w:val="pl-PL"/>
              </w:rPr>
              <w:t>Welsh</w:t>
            </w:r>
            <w:proofErr w:type="spellEnd"/>
            <w:r w:rsidRPr="0051112A">
              <w:rPr>
                <w:rFonts w:ascii="Arial" w:hAnsi="Arial" w:cs="Arial"/>
                <w:bCs/>
                <w:sz w:val="18"/>
                <w:szCs w:val="20"/>
                <w:lang w:val="pl-PL"/>
              </w:rPr>
              <w:t xml:space="preserve"> i in., 2012), a także na korzyści ekonomiczne płynące z wcześniejszych interwencji, w porównaniu z kosztami zinstytucjonalizowanej reakcji na niedostosowanie nieletniego. Niniejsza kwalifikacja stanowi odpowiedź na zarysowane powyżej problemy i potrzeby. Demoralizacja dotyka coraz to młodsze dzieci. Obowiązujące przepisy po pierwsze, rozpraszają odpowiedzialność za reakcję wobec przejawów demoralizacji na wiele różnych podmiotów, po drugie, przewidują sztywny i niezindywidualizowany sposób reagowania na przejawy demoralizacji nieletnich. Po trzecie zaś, przewidują reakcję uprawnionych podmiotów o charakterze prewencji trzeciorzędowej – tzn. skierowanej do dzieci i młodzieży z grupy wysokiego ryzyka, tj. już przejawiających zachowania świadczące o ich demoralizacji. Niniejsza kwalifikacja potwierdza posiadanie umiejętności z zakresu profilaktyki demoralizacji pierwszorzędowej i drugorzędowej. Umiejętności te mają na celu prewencję demoralizacji w stosunku do uczniów szkół podstawowych (w przedziale wiekowym 7-15). Obejmują skierowaną do grupy (klasy) i dostosowaną do jej potrzeb, elastyczną, prewencję o charakterze pierwszorzędowym. Ponadto, obejmują również umiejętności z zakresu profilaktyki drugorzędowej, skierowanej do pojedynczych uczniów znajdujących się w grupie ryzyka demoralizacji. Pozwala zaplanować i podjąć interwencję wobec ucznia, która wyprzedzi (a być może również zapobiegnie) konieczność zinstytucjonalizowanej reakcji organów państwowych, takich jak sąd rodzinny czy policja. Literatura cytowana: </w:t>
            </w:r>
            <w:proofErr w:type="spellStart"/>
            <w:r w:rsidRPr="0051112A">
              <w:rPr>
                <w:rFonts w:ascii="Arial" w:hAnsi="Arial" w:cs="Arial"/>
                <w:bCs/>
                <w:sz w:val="18"/>
                <w:szCs w:val="20"/>
                <w:lang w:val="pl-PL"/>
              </w:rPr>
              <w:t>Bernburg</w:t>
            </w:r>
            <w:proofErr w:type="spellEnd"/>
            <w:r w:rsidRPr="0051112A">
              <w:rPr>
                <w:rFonts w:ascii="Arial" w:hAnsi="Arial" w:cs="Arial"/>
                <w:bCs/>
                <w:sz w:val="18"/>
                <w:szCs w:val="20"/>
                <w:lang w:val="pl-PL"/>
              </w:rPr>
              <w:t xml:space="preserve">, J.G., &amp; </w:t>
            </w:r>
            <w:proofErr w:type="spellStart"/>
            <w:r w:rsidRPr="0051112A">
              <w:rPr>
                <w:rFonts w:ascii="Arial" w:hAnsi="Arial" w:cs="Arial"/>
                <w:bCs/>
                <w:sz w:val="18"/>
                <w:szCs w:val="20"/>
                <w:lang w:val="pl-PL"/>
              </w:rPr>
              <w:t>Krohn</w:t>
            </w:r>
            <w:proofErr w:type="spellEnd"/>
            <w:r w:rsidRPr="0051112A">
              <w:rPr>
                <w:rFonts w:ascii="Arial" w:hAnsi="Arial" w:cs="Arial"/>
                <w:bCs/>
                <w:sz w:val="18"/>
                <w:szCs w:val="20"/>
                <w:lang w:val="pl-PL"/>
              </w:rPr>
              <w:t xml:space="preserve">, M.D. (2003). </w:t>
            </w:r>
            <w:proofErr w:type="spellStart"/>
            <w:r w:rsidRPr="0051112A">
              <w:rPr>
                <w:rFonts w:ascii="Arial" w:hAnsi="Arial" w:cs="Arial"/>
                <w:bCs/>
                <w:sz w:val="18"/>
                <w:szCs w:val="20"/>
                <w:lang w:val="pl-PL"/>
              </w:rPr>
              <w:t>Labeling</w:t>
            </w:r>
            <w:proofErr w:type="spellEnd"/>
            <w:r w:rsidRPr="0051112A">
              <w:rPr>
                <w:rFonts w:ascii="Arial" w:hAnsi="Arial" w:cs="Arial"/>
                <w:bCs/>
                <w:sz w:val="18"/>
                <w:szCs w:val="20"/>
                <w:lang w:val="pl-PL"/>
              </w:rPr>
              <w:t xml:space="preserve">, life </w:t>
            </w:r>
            <w:proofErr w:type="spellStart"/>
            <w:r w:rsidRPr="0051112A">
              <w:rPr>
                <w:rFonts w:ascii="Arial" w:hAnsi="Arial" w:cs="Arial"/>
                <w:bCs/>
                <w:sz w:val="18"/>
                <w:szCs w:val="20"/>
                <w:lang w:val="pl-PL"/>
              </w:rPr>
              <w:t>chances</w:t>
            </w:r>
            <w:proofErr w:type="spellEnd"/>
            <w:r w:rsidRPr="0051112A">
              <w:rPr>
                <w:rFonts w:ascii="Arial" w:hAnsi="Arial" w:cs="Arial"/>
                <w:bCs/>
                <w:sz w:val="18"/>
                <w:szCs w:val="20"/>
                <w:lang w:val="pl-PL"/>
              </w:rPr>
              <w:t xml:space="preserve"> and </w:t>
            </w:r>
            <w:proofErr w:type="spellStart"/>
            <w:r w:rsidRPr="0051112A">
              <w:rPr>
                <w:rFonts w:ascii="Arial" w:hAnsi="Arial" w:cs="Arial"/>
                <w:bCs/>
                <w:sz w:val="18"/>
                <w:szCs w:val="20"/>
                <w:lang w:val="pl-PL"/>
              </w:rPr>
              <w:t>adult</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crime</w:t>
            </w:r>
            <w:proofErr w:type="spellEnd"/>
            <w:r w:rsidRPr="0051112A">
              <w:rPr>
                <w:rFonts w:ascii="Arial" w:hAnsi="Arial" w:cs="Arial"/>
                <w:bCs/>
                <w:sz w:val="18"/>
                <w:szCs w:val="20"/>
                <w:lang w:val="pl-PL"/>
              </w:rPr>
              <w:t xml:space="preserve">: the </w:t>
            </w:r>
            <w:proofErr w:type="spellStart"/>
            <w:r w:rsidRPr="0051112A">
              <w:rPr>
                <w:rFonts w:ascii="Arial" w:hAnsi="Arial" w:cs="Arial"/>
                <w:bCs/>
                <w:sz w:val="18"/>
                <w:szCs w:val="20"/>
                <w:lang w:val="pl-PL"/>
              </w:rPr>
              <w:t>direct</w:t>
            </w:r>
            <w:proofErr w:type="spellEnd"/>
            <w:r w:rsidRPr="0051112A">
              <w:rPr>
                <w:rFonts w:ascii="Arial" w:hAnsi="Arial" w:cs="Arial"/>
                <w:bCs/>
                <w:sz w:val="18"/>
                <w:szCs w:val="20"/>
                <w:lang w:val="pl-PL"/>
              </w:rPr>
              <w:t xml:space="preserve"> and </w:t>
            </w:r>
            <w:proofErr w:type="spellStart"/>
            <w:r w:rsidRPr="0051112A">
              <w:rPr>
                <w:rFonts w:ascii="Arial" w:hAnsi="Arial" w:cs="Arial"/>
                <w:bCs/>
                <w:sz w:val="18"/>
                <w:szCs w:val="20"/>
                <w:lang w:val="pl-PL"/>
              </w:rPr>
              <w:t>indirect</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effects</w:t>
            </w:r>
            <w:proofErr w:type="spellEnd"/>
            <w:r w:rsidRPr="0051112A">
              <w:rPr>
                <w:rFonts w:ascii="Arial" w:hAnsi="Arial" w:cs="Arial"/>
                <w:bCs/>
                <w:sz w:val="18"/>
                <w:szCs w:val="20"/>
                <w:lang w:val="pl-PL"/>
              </w:rPr>
              <w:t xml:space="preserve"> of </w:t>
            </w:r>
            <w:proofErr w:type="spellStart"/>
            <w:r w:rsidRPr="0051112A">
              <w:rPr>
                <w:rFonts w:ascii="Arial" w:hAnsi="Arial" w:cs="Arial"/>
                <w:bCs/>
                <w:sz w:val="18"/>
                <w:szCs w:val="20"/>
                <w:lang w:val="pl-PL"/>
              </w:rPr>
              <w:t>official</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intervention</w:t>
            </w:r>
            <w:proofErr w:type="spellEnd"/>
            <w:r w:rsidRPr="0051112A">
              <w:rPr>
                <w:rFonts w:ascii="Arial" w:hAnsi="Arial" w:cs="Arial"/>
                <w:bCs/>
                <w:sz w:val="18"/>
                <w:szCs w:val="20"/>
                <w:lang w:val="pl-PL"/>
              </w:rPr>
              <w:t xml:space="preserve"> in </w:t>
            </w:r>
            <w:proofErr w:type="spellStart"/>
            <w:r w:rsidRPr="0051112A">
              <w:rPr>
                <w:rFonts w:ascii="Arial" w:hAnsi="Arial" w:cs="Arial"/>
                <w:bCs/>
                <w:sz w:val="18"/>
                <w:szCs w:val="20"/>
                <w:lang w:val="pl-PL"/>
              </w:rPr>
              <w:t>adolescence</w:t>
            </w:r>
            <w:proofErr w:type="spellEnd"/>
            <w:r w:rsidRPr="0051112A">
              <w:rPr>
                <w:rFonts w:ascii="Arial" w:hAnsi="Arial" w:cs="Arial"/>
                <w:bCs/>
                <w:sz w:val="18"/>
                <w:szCs w:val="20"/>
                <w:lang w:val="pl-PL"/>
              </w:rPr>
              <w:t xml:space="preserve"> on </w:t>
            </w:r>
            <w:proofErr w:type="spellStart"/>
            <w:r w:rsidRPr="0051112A">
              <w:rPr>
                <w:rFonts w:ascii="Arial" w:hAnsi="Arial" w:cs="Arial"/>
                <w:bCs/>
                <w:sz w:val="18"/>
                <w:szCs w:val="20"/>
                <w:lang w:val="pl-PL"/>
              </w:rPr>
              <w:t>crime</w:t>
            </w:r>
            <w:proofErr w:type="spellEnd"/>
            <w:r w:rsidRPr="0051112A">
              <w:rPr>
                <w:rFonts w:ascii="Arial" w:hAnsi="Arial" w:cs="Arial"/>
                <w:bCs/>
                <w:sz w:val="18"/>
                <w:szCs w:val="20"/>
                <w:lang w:val="pl-PL"/>
              </w:rPr>
              <w:t xml:space="preserve"> in </w:t>
            </w:r>
            <w:proofErr w:type="spellStart"/>
            <w:r w:rsidRPr="0051112A">
              <w:rPr>
                <w:rFonts w:ascii="Arial" w:hAnsi="Arial" w:cs="Arial"/>
                <w:bCs/>
                <w:sz w:val="18"/>
                <w:szCs w:val="20"/>
                <w:lang w:val="pl-PL"/>
              </w:rPr>
              <w:t>early</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adulthood</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Criminology</w:t>
            </w:r>
            <w:proofErr w:type="spellEnd"/>
            <w:r w:rsidRPr="0051112A">
              <w:rPr>
                <w:rFonts w:ascii="Arial" w:hAnsi="Arial" w:cs="Arial"/>
                <w:bCs/>
                <w:sz w:val="18"/>
                <w:szCs w:val="20"/>
                <w:lang w:val="pl-PL"/>
              </w:rPr>
              <w:t xml:space="preserve">, 41(4), 1287- 1318. </w:t>
            </w:r>
            <w:proofErr w:type="spellStart"/>
            <w:r w:rsidRPr="0051112A">
              <w:rPr>
                <w:rFonts w:ascii="Arial" w:hAnsi="Arial" w:cs="Arial"/>
                <w:bCs/>
                <w:sz w:val="18"/>
                <w:szCs w:val="20"/>
                <w:lang w:val="pl-PL"/>
              </w:rPr>
              <w:t>Czarnecka-Dzialuk</w:t>
            </w:r>
            <w:proofErr w:type="spellEnd"/>
            <w:r w:rsidRPr="0051112A">
              <w:rPr>
                <w:rFonts w:ascii="Arial" w:hAnsi="Arial" w:cs="Arial"/>
                <w:bCs/>
                <w:sz w:val="18"/>
                <w:szCs w:val="20"/>
                <w:lang w:val="pl-PL"/>
              </w:rPr>
              <w:t xml:space="preserve">, B., &amp; Drapała, K. (2015). Kontrowersje wokół reagowania na przejawy demoralizacji nieletnich. Opinie praktyków. Prawo w Działaniu, 23, 313-344. Hawkins, J. D., Brown, E.C., </w:t>
            </w:r>
            <w:proofErr w:type="spellStart"/>
            <w:r w:rsidRPr="0051112A">
              <w:rPr>
                <w:rFonts w:ascii="Arial" w:hAnsi="Arial" w:cs="Arial"/>
                <w:bCs/>
                <w:sz w:val="18"/>
                <w:szCs w:val="20"/>
                <w:lang w:val="pl-PL"/>
              </w:rPr>
              <w:t>Oesterle</w:t>
            </w:r>
            <w:proofErr w:type="spellEnd"/>
            <w:r w:rsidRPr="0051112A">
              <w:rPr>
                <w:rFonts w:ascii="Arial" w:hAnsi="Arial" w:cs="Arial"/>
                <w:bCs/>
                <w:sz w:val="18"/>
                <w:szCs w:val="20"/>
                <w:lang w:val="pl-PL"/>
              </w:rPr>
              <w:t xml:space="preserve">, S., Arthur, M.W., Abbott, R.D., &amp; </w:t>
            </w:r>
            <w:proofErr w:type="spellStart"/>
            <w:r w:rsidRPr="0051112A">
              <w:rPr>
                <w:rFonts w:ascii="Arial" w:hAnsi="Arial" w:cs="Arial"/>
                <w:bCs/>
                <w:sz w:val="18"/>
                <w:szCs w:val="20"/>
                <w:lang w:val="pl-PL"/>
              </w:rPr>
              <w:t>Catalano</w:t>
            </w:r>
            <w:proofErr w:type="spellEnd"/>
            <w:r w:rsidRPr="0051112A">
              <w:rPr>
                <w:rFonts w:ascii="Arial" w:hAnsi="Arial" w:cs="Arial"/>
                <w:bCs/>
                <w:sz w:val="18"/>
                <w:szCs w:val="20"/>
                <w:lang w:val="pl-PL"/>
              </w:rPr>
              <w:t xml:space="preserve">, R.F. (2008). </w:t>
            </w:r>
            <w:proofErr w:type="spellStart"/>
            <w:r w:rsidRPr="0051112A">
              <w:rPr>
                <w:rFonts w:ascii="Arial" w:hAnsi="Arial" w:cs="Arial"/>
                <w:bCs/>
                <w:sz w:val="18"/>
                <w:szCs w:val="20"/>
                <w:lang w:val="pl-PL"/>
              </w:rPr>
              <w:t>Early</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Effects</w:t>
            </w:r>
            <w:proofErr w:type="spellEnd"/>
            <w:r w:rsidRPr="0051112A">
              <w:rPr>
                <w:rFonts w:ascii="Arial" w:hAnsi="Arial" w:cs="Arial"/>
                <w:bCs/>
                <w:sz w:val="18"/>
                <w:szCs w:val="20"/>
                <w:lang w:val="pl-PL"/>
              </w:rPr>
              <w:t xml:space="preserve"> of </w:t>
            </w:r>
            <w:proofErr w:type="spellStart"/>
            <w:r w:rsidRPr="0051112A">
              <w:rPr>
                <w:rFonts w:ascii="Arial" w:hAnsi="Arial" w:cs="Arial"/>
                <w:bCs/>
                <w:sz w:val="18"/>
                <w:szCs w:val="20"/>
                <w:lang w:val="pl-PL"/>
              </w:rPr>
              <w:t>Communities</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That</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Care</w:t>
            </w:r>
            <w:proofErr w:type="spellEnd"/>
            <w:r w:rsidRPr="0051112A">
              <w:rPr>
                <w:rFonts w:ascii="Arial" w:hAnsi="Arial" w:cs="Arial"/>
                <w:bCs/>
                <w:sz w:val="18"/>
                <w:szCs w:val="20"/>
                <w:lang w:val="pl-PL"/>
              </w:rPr>
              <w:t xml:space="preserve"> on </w:t>
            </w:r>
            <w:proofErr w:type="spellStart"/>
            <w:r w:rsidRPr="0051112A">
              <w:rPr>
                <w:rFonts w:ascii="Arial" w:hAnsi="Arial" w:cs="Arial"/>
                <w:bCs/>
                <w:sz w:val="18"/>
                <w:szCs w:val="20"/>
                <w:lang w:val="pl-PL"/>
              </w:rPr>
              <w:t>Targeted</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Risks</w:t>
            </w:r>
            <w:proofErr w:type="spellEnd"/>
            <w:r w:rsidRPr="0051112A">
              <w:rPr>
                <w:rFonts w:ascii="Arial" w:hAnsi="Arial" w:cs="Arial"/>
                <w:bCs/>
                <w:sz w:val="18"/>
                <w:szCs w:val="20"/>
                <w:lang w:val="pl-PL"/>
              </w:rPr>
              <w:t xml:space="preserve"> and </w:t>
            </w:r>
            <w:proofErr w:type="spellStart"/>
            <w:r w:rsidRPr="0051112A">
              <w:rPr>
                <w:rFonts w:ascii="Arial" w:hAnsi="Arial" w:cs="Arial"/>
                <w:bCs/>
                <w:sz w:val="18"/>
                <w:szCs w:val="20"/>
                <w:lang w:val="pl-PL"/>
              </w:rPr>
              <w:t>Initiation</w:t>
            </w:r>
            <w:proofErr w:type="spellEnd"/>
            <w:r w:rsidRPr="0051112A">
              <w:rPr>
                <w:rFonts w:ascii="Arial" w:hAnsi="Arial" w:cs="Arial"/>
                <w:bCs/>
                <w:sz w:val="18"/>
                <w:szCs w:val="20"/>
                <w:lang w:val="pl-PL"/>
              </w:rPr>
              <w:t xml:space="preserve"> of </w:t>
            </w:r>
            <w:proofErr w:type="spellStart"/>
            <w:r w:rsidRPr="0051112A">
              <w:rPr>
                <w:rFonts w:ascii="Arial" w:hAnsi="Arial" w:cs="Arial"/>
                <w:bCs/>
                <w:sz w:val="18"/>
                <w:szCs w:val="20"/>
                <w:lang w:val="pl-PL"/>
              </w:rPr>
              <w:t>Delinquent</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Behavior</w:t>
            </w:r>
            <w:proofErr w:type="spellEnd"/>
            <w:r w:rsidRPr="0051112A">
              <w:rPr>
                <w:rFonts w:ascii="Arial" w:hAnsi="Arial" w:cs="Arial"/>
                <w:bCs/>
                <w:sz w:val="18"/>
                <w:szCs w:val="20"/>
                <w:lang w:val="pl-PL"/>
              </w:rPr>
              <w:t xml:space="preserve"> and </w:t>
            </w:r>
            <w:proofErr w:type="spellStart"/>
            <w:r w:rsidRPr="0051112A">
              <w:rPr>
                <w:rFonts w:ascii="Arial" w:hAnsi="Arial" w:cs="Arial"/>
                <w:bCs/>
                <w:sz w:val="18"/>
                <w:szCs w:val="20"/>
                <w:lang w:val="pl-PL"/>
              </w:rPr>
              <w:t>Substance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Use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Journal</w:t>
            </w:r>
            <w:proofErr w:type="spellEnd"/>
            <w:r w:rsidRPr="0051112A">
              <w:rPr>
                <w:rFonts w:ascii="Arial" w:hAnsi="Arial" w:cs="Arial"/>
                <w:bCs/>
                <w:sz w:val="18"/>
                <w:szCs w:val="20"/>
                <w:lang w:val="pl-PL"/>
              </w:rPr>
              <w:t xml:space="preserve"> of Adolescent </w:t>
            </w:r>
            <w:proofErr w:type="spellStart"/>
            <w:r w:rsidRPr="0051112A">
              <w:rPr>
                <w:rFonts w:ascii="Arial" w:hAnsi="Arial" w:cs="Arial"/>
                <w:bCs/>
                <w:sz w:val="18"/>
                <w:szCs w:val="20"/>
                <w:lang w:val="pl-PL"/>
              </w:rPr>
              <w:t>Health</w:t>
            </w:r>
            <w:proofErr w:type="spellEnd"/>
            <w:r w:rsidRPr="0051112A">
              <w:rPr>
                <w:rFonts w:ascii="Arial" w:hAnsi="Arial" w:cs="Arial"/>
                <w:bCs/>
                <w:sz w:val="18"/>
                <w:szCs w:val="20"/>
                <w:lang w:val="pl-PL"/>
              </w:rPr>
              <w:t>, 43, 15-22. Ministerstwo Sprawiedliwości (2016a). Nieletni – prawomocne orzeczenia w latach 2003-2016. Pobrane z: https://isws.ms.gov.pl/pl/baza-statystyczna/opracowania-wieloletnie/ Noszczyk-</w:t>
            </w:r>
            <w:proofErr w:type="spellStart"/>
            <w:r w:rsidRPr="0051112A">
              <w:rPr>
                <w:rFonts w:ascii="Arial" w:hAnsi="Arial" w:cs="Arial"/>
                <w:bCs/>
                <w:sz w:val="18"/>
                <w:szCs w:val="20"/>
                <w:lang w:val="pl-PL"/>
              </w:rPr>
              <w:t>Bernasiewicz</w:t>
            </w:r>
            <w:proofErr w:type="spellEnd"/>
            <w:r w:rsidRPr="0051112A">
              <w:rPr>
                <w:rFonts w:ascii="Arial" w:hAnsi="Arial" w:cs="Arial"/>
                <w:bCs/>
                <w:sz w:val="18"/>
                <w:szCs w:val="20"/>
                <w:lang w:val="pl-PL"/>
              </w:rPr>
              <w:t xml:space="preserve">, M. (2016). Demoralizacja i czyny karalne wśród nieletnich – dynamika i rozmiary. </w:t>
            </w:r>
            <w:proofErr w:type="spellStart"/>
            <w:r w:rsidRPr="0051112A">
              <w:rPr>
                <w:rFonts w:ascii="Arial" w:hAnsi="Arial" w:cs="Arial"/>
                <w:bCs/>
                <w:sz w:val="18"/>
                <w:szCs w:val="20"/>
                <w:lang w:val="pl-PL"/>
              </w:rPr>
              <w:t>Polish</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Journal</w:t>
            </w:r>
            <w:proofErr w:type="spellEnd"/>
            <w:r w:rsidRPr="0051112A">
              <w:rPr>
                <w:rFonts w:ascii="Arial" w:hAnsi="Arial" w:cs="Arial"/>
                <w:bCs/>
                <w:sz w:val="18"/>
                <w:szCs w:val="20"/>
                <w:lang w:val="pl-PL"/>
              </w:rPr>
              <w:t xml:space="preserve"> of </w:t>
            </w:r>
            <w:proofErr w:type="spellStart"/>
            <w:r w:rsidRPr="0051112A">
              <w:rPr>
                <w:rFonts w:ascii="Arial" w:hAnsi="Arial" w:cs="Arial"/>
                <w:bCs/>
                <w:sz w:val="18"/>
                <w:szCs w:val="20"/>
                <w:lang w:val="pl-PL"/>
              </w:rPr>
              <w:t>Social</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Rehabilitation</w:t>
            </w:r>
            <w:proofErr w:type="spellEnd"/>
            <w:r w:rsidRPr="0051112A">
              <w:rPr>
                <w:rFonts w:ascii="Arial" w:hAnsi="Arial" w:cs="Arial"/>
                <w:bCs/>
                <w:sz w:val="18"/>
                <w:szCs w:val="20"/>
                <w:lang w:val="pl-PL"/>
              </w:rPr>
              <w:t xml:space="preserve">, 11, 145-162. </w:t>
            </w:r>
            <w:proofErr w:type="spellStart"/>
            <w:r w:rsidRPr="0051112A">
              <w:rPr>
                <w:rFonts w:ascii="Arial" w:hAnsi="Arial" w:cs="Arial"/>
                <w:bCs/>
                <w:sz w:val="18"/>
                <w:szCs w:val="20"/>
                <w:lang w:val="pl-PL"/>
              </w:rPr>
              <w:t>Welsh</w:t>
            </w:r>
            <w:proofErr w:type="spellEnd"/>
            <w:r w:rsidRPr="0051112A">
              <w:rPr>
                <w:rFonts w:ascii="Arial" w:hAnsi="Arial" w:cs="Arial"/>
                <w:bCs/>
                <w:sz w:val="18"/>
                <w:szCs w:val="20"/>
                <w:lang w:val="pl-PL"/>
              </w:rPr>
              <w:t xml:space="preserve">, B.C., </w:t>
            </w:r>
            <w:proofErr w:type="spellStart"/>
            <w:r w:rsidRPr="0051112A">
              <w:rPr>
                <w:rFonts w:ascii="Arial" w:hAnsi="Arial" w:cs="Arial"/>
                <w:bCs/>
                <w:sz w:val="18"/>
                <w:szCs w:val="20"/>
                <w:lang w:val="pl-PL"/>
              </w:rPr>
              <w:t>Lipsey</w:t>
            </w:r>
            <w:proofErr w:type="spellEnd"/>
            <w:r w:rsidRPr="0051112A">
              <w:rPr>
                <w:rFonts w:ascii="Arial" w:hAnsi="Arial" w:cs="Arial"/>
                <w:bCs/>
                <w:sz w:val="18"/>
                <w:szCs w:val="20"/>
                <w:lang w:val="pl-PL"/>
              </w:rPr>
              <w:t xml:space="preserve">, M.W., </w:t>
            </w:r>
            <w:proofErr w:type="spellStart"/>
            <w:r w:rsidRPr="0051112A">
              <w:rPr>
                <w:rFonts w:ascii="Arial" w:hAnsi="Arial" w:cs="Arial"/>
                <w:bCs/>
                <w:sz w:val="18"/>
                <w:szCs w:val="20"/>
                <w:lang w:val="pl-PL"/>
              </w:rPr>
              <w:t>Rivara</w:t>
            </w:r>
            <w:proofErr w:type="spellEnd"/>
            <w:r w:rsidRPr="0051112A">
              <w:rPr>
                <w:rFonts w:ascii="Arial" w:hAnsi="Arial" w:cs="Arial"/>
                <w:bCs/>
                <w:sz w:val="18"/>
                <w:szCs w:val="20"/>
                <w:lang w:val="pl-PL"/>
              </w:rPr>
              <w:t xml:space="preserve">, F.P., J Hawkins, J.D, </w:t>
            </w:r>
            <w:proofErr w:type="spellStart"/>
            <w:r w:rsidRPr="0051112A">
              <w:rPr>
                <w:rFonts w:ascii="Arial" w:hAnsi="Arial" w:cs="Arial"/>
                <w:bCs/>
                <w:sz w:val="18"/>
                <w:szCs w:val="20"/>
                <w:lang w:val="pl-PL"/>
              </w:rPr>
              <w:t>Aos</w:t>
            </w:r>
            <w:proofErr w:type="spellEnd"/>
            <w:r w:rsidRPr="0051112A">
              <w:rPr>
                <w:rFonts w:ascii="Arial" w:hAnsi="Arial" w:cs="Arial"/>
                <w:bCs/>
                <w:sz w:val="18"/>
                <w:szCs w:val="20"/>
                <w:lang w:val="pl-PL"/>
              </w:rPr>
              <w:t xml:space="preserve">, S., &amp; </w:t>
            </w:r>
            <w:proofErr w:type="spellStart"/>
            <w:r w:rsidRPr="0051112A">
              <w:rPr>
                <w:rFonts w:ascii="Arial" w:hAnsi="Arial" w:cs="Arial"/>
                <w:bCs/>
                <w:sz w:val="18"/>
                <w:szCs w:val="20"/>
                <w:lang w:val="pl-PL"/>
              </w:rPr>
              <w:t>Hollis-Peel</w:t>
            </w:r>
            <w:proofErr w:type="spellEnd"/>
            <w:r w:rsidRPr="0051112A">
              <w:rPr>
                <w:rFonts w:ascii="Arial" w:hAnsi="Arial" w:cs="Arial"/>
                <w:bCs/>
                <w:sz w:val="18"/>
                <w:szCs w:val="20"/>
                <w:lang w:val="pl-PL"/>
              </w:rPr>
              <w:t xml:space="preserve">, M.E. (2012). </w:t>
            </w:r>
            <w:proofErr w:type="spellStart"/>
            <w:r w:rsidRPr="0051112A">
              <w:rPr>
                <w:rFonts w:ascii="Arial" w:hAnsi="Arial" w:cs="Arial"/>
                <w:bCs/>
                <w:sz w:val="18"/>
                <w:szCs w:val="20"/>
                <w:lang w:val="pl-PL"/>
              </w:rPr>
              <w:t>Promoting</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Change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Changing</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Lives</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Effective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Prevention</w:t>
            </w:r>
            <w:proofErr w:type="spellEnd"/>
            <w:r w:rsidRPr="0051112A">
              <w:rPr>
                <w:rFonts w:ascii="Arial" w:hAnsi="Arial" w:cs="Arial"/>
                <w:bCs/>
                <w:sz w:val="18"/>
                <w:szCs w:val="20"/>
                <w:lang w:val="pl-PL"/>
              </w:rPr>
              <w:t xml:space="preserve"> and </w:t>
            </w:r>
            <w:proofErr w:type="spellStart"/>
            <w:r w:rsidRPr="0051112A">
              <w:rPr>
                <w:rFonts w:ascii="Arial" w:hAnsi="Arial" w:cs="Arial"/>
                <w:bCs/>
                <w:sz w:val="18"/>
                <w:szCs w:val="20"/>
                <w:lang w:val="pl-PL"/>
              </w:rPr>
              <w:t>Intervention</w:t>
            </w:r>
            <w:proofErr w:type="spellEnd"/>
            <w:r w:rsidRPr="0051112A">
              <w:rPr>
                <w:rFonts w:ascii="Arial" w:hAnsi="Arial" w:cs="Arial"/>
                <w:bCs/>
                <w:sz w:val="18"/>
                <w:szCs w:val="20"/>
                <w:lang w:val="pl-PL"/>
              </w:rPr>
              <w:t xml:space="preserve"> to </w:t>
            </w:r>
            <w:proofErr w:type="spellStart"/>
            <w:r w:rsidRPr="0051112A">
              <w:rPr>
                <w:rFonts w:ascii="Arial" w:hAnsi="Arial" w:cs="Arial"/>
                <w:bCs/>
                <w:sz w:val="18"/>
                <w:szCs w:val="20"/>
                <w:lang w:val="pl-PL"/>
              </w:rPr>
              <w:lastRenderedPageBreak/>
              <w:t>Reduce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Serious</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Offending</w:t>
            </w:r>
            <w:proofErr w:type="spellEnd"/>
            <w:r w:rsidRPr="0051112A">
              <w:rPr>
                <w:rFonts w:ascii="Arial" w:hAnsi="Arial" w:cs="Arial"/>
                <w:bCs/>
                <w:sz w:val="18"/>
                <w:szCs w:val="20"/>
                <w:lang w:val="pl-PL"/>
              </w:rPr>
              <w:t xml:space="preserve">. [W:] R. </w:t>
            </w:r>
            <w:proofErr w:type="spellStart"/>
            <w:r w:rsidRPr="0051112A">
              <w:rPr>
                <w:rFonts w:ascii="Arial" w:hAnsi="Arial" w:cs="Arial"/>
                <w:bCs/>
                <w:sz w:val="18"/>
                <w:szCs w:val="20"/>
                <w:lang w:val="pl-PL"/>
              </w:rPr>
              <w:t>Loeber</w:t>
            </w:r>
            <w:proofErr w:type="spellEnd"/>
            <w:r w:rsidRPr="0051112A">
              <w:rPr>
                <w:rFonts w:ascii="Arial" w:hAnsi="Arial" w:cs="Arial"/>
                <w:bCs/>
                <w:sz w:val="18"/>
                <w:szCs w:val="20"/>
                <w:lang w:val="pl-PL"/>
              </w:rPr>
              <w:t xml:space="preserve">, D.P. </w:t>
            </w:r>
            <w:proofErr w:type="spellStart"/>
            <w:r w:rsidRPr="0051112A">
              <w:rPr>
                <w:rFonts w:ascii="Arial" w:hAnsi="Arial" w:cs="Arial"/>
                <w:bCs/>
                <w:sz w:val="18"/>
                <w:szCs w:val="20"/>
                <w:lang w:val="pl-PL"/>
              </w:rPr>
              <w:t>Farrington</w:t>
            </w:r>
            <w:proofErr w:type="spellEnd"/>
            <w:r w:rsidRPr="0051112A">
              <w:rPr>
                <w:rFonts w:ascii="Arial" w:hAnsi="Arial" w:cs="Arial"/>
                <w:bCs/>
                <w:sz w:val="18"/>
                <w:szCs w:val="20"/>
                <w:lang w:val="pl-PL"/>
              </w:rPr>
              <w:t xml:space="preserve"> (red.). From </w:t>
            </w:r>
            <w:proofErr w:type="spellStart"/>
            <w:r w:rsidRPr="0051112A">
              <w:rPr>
                <w:rFonts w:ascii="Arial" w:hAnsi="Arial" w:cs="Arial"/>
                <w:bCs/>
                <w:sz w:val="18"/>
                <w:szCs w:val="20"/>
                <w:lang w:val="pl-PL"/>
              </w:rPr>
              <w:t>juvenile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delinquency</w:t>
            </w:r>
            <w:proofErr w:type="spellEnd"/>
            <w:r w:rsidRPr="0051112A">
              <w:rPr>
                <w:rFonts w:ascii="Arial" w:hAnsi="Arial" w:cs="Arial"/>
                <w:bCs/>
                <w:sz w:val="18"/>
                <w:szCs w:val="20"/>
                <w:lang w:val="pl-PL"/>
              </w:rPr>
              <w:t xml:space="preserve"> to </w:t>
            </w:r>
            <w:proofErr w:type="spellStart"/>
            <w:r w:rsidRPr="0051112A">
              <w:rPr>
                <w:rFonts w:ascii="Arial" w:hAnsi="Arial" w:cs="Arial"/>
                <w:bCs/>
                <w:sz w:val="18"/>
                <w:szCs w:val="20"/>
                <w:lang w:val="pl-PL"/>
              </w:rPr>
              <w:t>adult</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crime</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criminal</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careers</w:t>
            </w:r>
            <w:proofErr w:type="spellEnd"/>
            <w:r w:rsidRPr="0051112A">
              <w:rPr>
                <w:rFonts w:ascii="Arial" w:hAnsi="Arial" w:cs="Arial"/>
                <w:bCs/>
                <w:sz w:val="18"/>
                <w:szCs w:val="20"/>
                <w:lang w:val="pl-PL"/>
              </w:rPr>
              <w:t xml:space="preserve">, </w:t>
            </w:r>
            <w:proofErr w:type="spellStart"/>
            <w:r w:rsidRPr="0051112A">
              <w:rPr>
                <w:rFonts w:ascii="Arial" w:hAnsi="Arial" w:cs="Arial"/>
                <w:bCs/>
                <w:sz w:val="18"/>
                <w:szCs w:val="20"/>
                <w:lang w:val="pl-PL"/>
              </w:rPr>
              <w:t>justice</w:t>
            </w:r>
            <w:proofErr w:type="spellEnd"/>
            <w:r w:rsidRPr="0051112A">
              <w:rPr>
                <w:rFonts w:ascii="Arial" w:hAnsi="Arial" w:cs="Arial"/>
                <w:bCs/>
                <w:sz w:val="18"/>
                <w:szCs w:val="20"/>
                <w:lang w:val="pl-PL"/>
              </w:rPr>
              <w:t xml:space="preserve"> policy, and </w:t>
            </w:r>
            <w:proofErr w:type="spellStart"/>
            <w:r w:rsidRPr="0051112A">
              <w:rPr>
                <w:rFonts w:ascii="Arial" w:hAnsi="Arial" w:cs="Arial"/>
                <w:bCs/>
                <w:sz w:val="18"/>
                <w:szCs w:val="20"/>
                <w:lang w:val="pl-PL"/>
              </w:rPr>
              <w:t>prevention</w:t>
            </w:r>
            <w:proofErr w:type="spellEnd"/>
            <w:r w:rsidRPr="0051112A">
              <w:rPr>
                <w:rFonts w:ascii="Arial" w:hAnsi="Arial" w:cs="Arial"/>
                <w:bCs/>
                <w:sz w:val="18"/>
                <w:szCs w:val="20"/>
                <w:lang w:val="pl-PL"/>
              </w:rPr>
              <w:t xml:space="preserve"> (s. 245-277). Nowy Jork: Oxford University Press. Wójcik D. (red.) (2008). Wymiar sprawiedliwości wobec nieletnich w wybranych krajach. Prawo w Działaniu, 3, 187-240.</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683"/>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Odniesienie do kwalifikacji o zbliżonym charakterze oraz wskazanie kwalifikacji ujętych w ZRK zawierających wspólne zestawy efektów uczenia się:</w:t>
            </w:r>
            <w:r>
              <w:rPr>
                <w:rFonts w:ascii="Arial" w:hAnsi="Arial" w:cs="Arial"/>
                <w:b/>
                <w:bCs/>
                <w:sz w:val="18"/>
                <w:szCs w:val="20"/>
                <w:lang w:val="pl-PL"/>
              </w:rPr>
              <w:t xml:space="preserve"> </w:t>
            </w:r>
            <w:r w:rsidRPr="00102F7E">
              <w:rPr>
                <w:rFonts w:ascii="Arial" w:hAnsi="Arial" w:cs="Arial"/>
                <w:bCs/>
                <w:sz w:val="18"/>
                <w:szCs w:val="20"/>
                <w:lang w:val="pl-PL"/>
              </w:rPr>
              <w:t>Brak kwalifikacji o zbliżonym charakterze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Typowe możliwości wykorzystania kwalifikacji:</w:t>
            </w:r>
          </w:p>
          <w:p w:rsidR="00102F7E" w:rsidRPr="00102F7E"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Umiejętności objęte kwalifikacją są szczególnie pożądane wśród pracowników oświaty – nauczycieli, pedagogów szkolnych, psychologów szkolnych. W przypadku nauczycieli przedmiotowych będą miały szczególne znaczenie dla tych, którzy chcą objąć (bądź już pełnią) funkcję wychowawców klas. Kwalifikacja kierowana jest do osób aktualnie pracujących w szkołach podstawowych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Wymagania dotyczące walidacji i podmiotów przeprowadzających walidację:</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1. Etap weryfikacji.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1.1 Metody: Zestawy efektów uczenia się są sprawdzane wyłącznie za pomocą następujących metod: test teoretyczny (walidacja efektów uczenia się z zestawu 01), analiza dowodów i deklaracji (walidacja efektów uczenia się z zestawu 01 i 03), prezentacja multimedialna (walidacja efektów uczenia się z zestawu 02), zadania praktyczne (studium przypadku) (walidacja efektów uczenia się z zestawu 03), rozmowa z komisją (walidacja efektów uczenia się z zestawu 03).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1. Test teoretyczny - walidacja umiejętności „Posługuje się wiedzą dotyczącą zjawiska demoralizacji” z zestawu 01;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2. Analiza dowodów i deklaracji obejmuje: a. opracowanie minimum 5 oryginalnych scenariuszy (opisów) </w:t>
            </w:r>
            <w:proofErr w:type="spellStart"/>
            <w:r w:rsidRPr="0051112A">
              <w:rPr>
                <w:rFonts w:ascii="Arial" w:hAnsi="Arial" w:cs="Arial"/>
                <w:bCs/>
                <w:sz w:val="18"/>
                <w:szCs w:val="20"/>
                <w:lang w:val="pl-PL"/>
              </w:rPr>
              <w:t>zachowań</w:t>
            </w:r>
            <w:proofErr w:type="spellEnd"/>
            <w:r w:rsidRPr="0051112A">
              <w:rPr>
                <w:rFonts w:ascii="Arial" w:hAnsi="Arial" w:cs="Arial"/>
                <w:bCs/>
                <w:sz w:val="18"/>
                <w:szCs w:val="20"/>
                <w:lang w:val="pl-PL"/>
              </w:rPr>
              <w:t xml:space="preserve"> mogących świadczyć o demoralizacji, wykorzystanych w pracy z grupą (klasą) - walidacja umiejętności „Identyfikuje potrzeby klasy w zakresie pierwszorzędowej prewencji demoralizacji” z zestawu 01; b. Opracowanie raportu z podjętych działań prewencyjnych. Raport powinien zwierać: plan działań wraz z diagnozą klasy, opis podjętych działań w tym m.in. opis sytemu motywacyjnego, wnioski z przeprowadzonych działań oraz informacje z monitoringu wdrożonego planu – walidacja umiejętności „Identyfikuje potrzeby klasy w zakresie pierwszorzędowej prewencji demoralizacji” z zestawu 01 oraz walidacja wszystkich efektów uczenia się z zestawu 02; c. Nagranie audio przeprowadzonej dyskusji grupowej w klasie – walidacja umiejętności „Prowadzi rozmowę grupową” z zestawu 01; d. Przygotowanie raportu dotyczącego dwóch przypadków uczniów, obejmującego: diagnozę demoralizacji, opracowane zaleceń do dalszej pracy z tymi </w:t>
            </w:r>
            <w:r w:rsidRPr="0051112A">
              <w:rPr>
                <w:rFonts w:ascii="Arial" w:hAnsi="Arial" w:cs="Arial"/>
                <w:bCs/>
                <w:sz w:val="18"/>
                <w:szCs w:val="20"/>
                <w:lang w:val="pl-PL"/>
              </w:rPr>
              <w:lastRenderedPageBreak/>
              <w:t xml:space="preserve">uczniami, a także przebieg realizacji tych zaleceń – walidacja umiejętności „Przygotowuje raport dotyczący sytuacji ucznia” z zestawu 03;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3. Prezentacja multimedialna: a. Przygotowana na podstawie raportu prezentacja multimedialna obejmująca: charakterystykę grupy (czynniki ryzyka demoralizacji i czynniki służące ochronie przed nią); omówienie pożądanych sposobów radzenia sobie z demoralizacją oraz technik/metod nabywania ww. umiejętności, charakterystykę założeń planu prewencyjnego, sposobów jego realizacji oraz opis przebiegu i monitorowania efektów – walidacja wszystkich efektów uczenia się z zestawu 02;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4. Zadanie praktyczne (studium przypadku): Na podstawie przedstawionego przez komisję przypadku ucznia zagrożonego demoralizacją, opracowanie diagnozy i zaleceń do pracy z tym uczniem. Obejmuje to m.in. dokonanie diagnozy (wskazanie czynników ryzyka i czynników chroniących przed demoralizacją) oraz sformułowanie zaleceń co do interwencji, z uwzględnieniem rozwiązań angażujących inne podmioty w pomoc indywidualnemu członkowi grupy (klasy) – walidacja umiejętności „Identyfikuje czynniki ryzyka i ochronne demoralizacji” z zestawu 03;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5. Rozmowa z komisją – walidacja wszystkich efektów uczenia się z zestawów 01, 02, 03.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1.2 Zasoby kadrowe: Proces walidacji odbywał się będzie przed komisją egzaminacyjną, składającą się z 3 członków. Członkami komisji będą: a) przewodniczący komisji – osoba z wykształceniem minimum wyższym magisterskim i minimum 5-letnim praktycznym doświadczeniem w pracy z dziećmi lub młodzieżą zagrożoną demoralizacją lub przejawiającą zachowania świadczące o demoralizacji (np. kurator sądowy, asystent rodziny, biegły psycholog opiniujący w sprawach nieletnich, wychowawca w MOW, psycholog szkolny itd.); b) członek komisji – osoba z wykształceniem minimum wyższym magisterskim (psychologia, pedagogika, prawo), oraz co najmniej 2-letnim doświadczeniem w pracy naukowo-badawczej z zakresu problematyki demoralizacji dzieci lub młodzieży; c) członek komisji – osoba z wykształceniem minimum wyższym magisterskim i minimum 2-letnim praktycznym doświadczeniem w pracy z dziećmi lub młodzieżą zagrożoną demoralizacją lub przejawiającą zachowania świadczące o demoralizacji (np. kurator sądowy, asystent rodziny, biegły psycholog opiniujący w sprawach nieletnich, wychowawca w MOW, psycholog szkolny itd.). </w:t>
            </w:r>
          </w:p>
          <w:p w:rsidR="0051112A"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1.3 Sposób organizacji walidacji oraz warunki organizacyjne i materialne: Instytucja Certyfikująca musi zapewnić sale z dostępem do komputera, projektora/rzutnika oraz ekranu (do przeprowadzenia prezentacji multimedialnej). </w:t>
            </w:r>
          </w:p>
          <w:p w:rsidR="00102F7E" w:rsidRPr="00102F7E" w:rsidRDefault="0051112A" w:rsidP="007E4966">
            <w:pPr>
              <w:spacing w:line="276" w:lineRule="auto"/>
              <w:jc w:val="both"/>
              <w:rPr>
                <w:rFonts w:ascii="Arial" w:hAnsi="Arial" w:cs="Arial"/>
                <w:bCs/>
                <w:sz w:val="18"/>
                <w:szCs w:val="20"/>
                <w:lang w:val="pl-PL"/>
              </w:rPr>
            </w:pPr>
            <w:r w:rsidRPr="0051112A">
              <w:rPr>
                <w:rFonts w:ascii="Arial" w:hAnsi="Arial" w:cs="Arial"/>
                <w:bCs/>
                <w:sz w:val="18"/>
                <w:szCs w:val="20"/>
                <w:lang w:val="pl-PL"/>
              </w:rPr>
              <w:t xml:space="preserve">2. Etapy identyfikowania i dokumentowania: Instytucja certyfikująca musi zapewnić </w:t>
            </w:r>
            <w:r w:rsidRPr="0051112A">
              <w:rPr>
                <w:rFonts w:ascii="Arial" w:hAnsi="Arial" w:cs="Arial"/>
                <w:bCs/>
                <w:sz w:val="18"/>
                <w:szCs w:val="20"/>
                <w:lang w:val="pl-PL"/>
              </w:rPr>
              <w:lastRenderedPageBreak/>
              <w:t>kandydatom dostęp do doradcy walidacyjnego. Osoba pełniąca funkcję doradcy walidacyjnego powinna posługiwać się wiedzą dotyczącą: (1) efektów uczenia się dla kwalifikacji, (2) metod walidacji dla danej kwalifikacji, (3) systemu kwalifikacji zawodowych w Polsce, (4) organizacji i funkcjonowania systemu edukacji w Polsce.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C54ABB" w:rsidRP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Syntetyczna charakterystyka efektów uczenia się:</w:t>
            </w:r>
          </w:p>
          <w:p w:rsidR="00102F7E" w:rsidRPr="00102F7E" w:rsidRDefault="00987C62" w:rsidP="007E4966">
            <w:pPr>
              <w:spacing w:line="276" w:lineRule="auto"/>
              <w:jc w:val="both"/>
              <w:rPr>
                <w:rFonts w:ascii="Arial" w:hAnsi="Arial" w:cs="Arial"/>
                <w:bCs/>
                <w:sz w:val="18"/>
                <w:szCs w:val="20"/>
                <w:lang w:val="pl-PL"/>
              </w:rPr>
            </w:pPr>
            <w:r w:rsidRPr="00987C62">
              <w:rPr>
                <w:rFonts w:ascii="Arial" w:hAnsi="Arial" w:cs="Arial"/>
                <w:bCs/>
                <w:sz w:val="18"/>
                <w:szCs w:val="20"/>
                <w:lang w:val="pl-PL"/>
              </w:rPr>
              <w:t>Osoba posiadająca kwalifikację „Wspieranie pracy wychowawczej szkoły, poprzez opracowanie i wdrożenie działań mających na celu prewencję demoralizacji uczniów w szkole podstawowej” posługuje się pogłębioną wiedzą dotycząca złożoności zjawiska demoralizacji i jego przejawów oraz przyczyn. Wykorzystuje tę wiedzę, jak i wiedzę o czynnikach ryzyka demoralizacji i czynnikach chroniących przed nią, do identyfikowania potrzeb grupy (klasy) w zakresie uniwersalnej prewencji demoralizacji. Samodzielnie przygotowuje i wdraża w grupie (klasie) plan prewencyjny dostosowany do jej potrzeb, a także monitoruje jego realizację przez grupę (klasę) i jej poszczególnych członków. Stosuje różnorodne techniki angażowania grupy (klasy) w działania oraz podtrzymania jej motywacji. Osoba posiadająca ww. kwalifikację – poza realizacją celów prewencyjnych w stosunku do grupy (klasy) – podejmuje działania także wobec indywidualnych uczniów. Identyfikuje w grupie (klasie) tych uczniów, którzy są szczególnie zagrożeni demoralizacją, wymagają wzmożonych (i ukierunkowanych bardziej indywidualnie) działań prewencyjnych i interwencyjnych (np. ze względu na sytuację dziecka – rodzina niewydolna wychowawczo, rodzina, w której stosowana jest przemoc, zdemoralizowane środowisko rówieśnicze itp.). Współpracuje z innymi osobami (nauczycielami, pedagogami, psychologami, rodzicami dziecka) oraz podmiotami, w celu opracowania i sformułowania propozycji działań o znamionach wczesnej interwencji, mającej uchronić konkretnego ucznia przed zinstytucjonalizowaną reakcją (m.in. policji, sądu). W swoje pracy bierze pod uwagę potrzeby i dobro pojedynczych uczniów oraz całych zespołów klasowych.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Default="00832F43" w:rsidP="007E4966">
            <w:pPr>
              <w:spacing w:line="276" w:lineRule="auto"/>
              <w:jc w:val="both"/>
              <w:rPr>
                <w:rFonts w:ascii="Arial" w:hAnsi="Arial" w:cs="Arial"/>
                <w:b/>
                <w:bCs/>
                <w:sz w:val="18"/>
                <w:szCs w:val="20"/>
                <w:lang w:val="pl-PL"/>
              </w:rPr>
            </w:pPr>
          </w:p>
          <w:p w:rsid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Zestaw efektów uczenia się nr 1</w:t>
            </w:r>
            <w:r>
              <w:rPr>
                <w:rFonts w:ascii="Arial" w:hAnsi="Arial" w:cs="Arial"/>
                <w:b/>
                <w:bCs/>
                <w:sz w:val="18"/>
                <w:szCs w:val="20"/>
                <w:lang w:val="pl-PL"/>
              </w:rPr>
              <w:t xml:space="preserve">: </w:t>
            </w:r>
          </w:p>
          <w:p w:rsidR="00C54ABB" w:rsidRDefault="00C54ABB" w:rsidP="007E4966">
            <w:pPr>
              <w:spacing w:line="276" w:lineRule="auto"/>
              <w:jc w:val="both"/>
              <w:rPr>
                <w:rFonts w:ascii="Arial" w:hAnsi="Arial" w:cs="Arial"/>
                <w:b/>
                <w:bCs/>
                <w:sz w:val="18"/>
                <w:szCs w:val="20"/>
                <w:lang w:val="pl-PL"/>
              </w:rPr>
            </w:pPr>
          </w:p>
          <w:p w:rsidR="000B4789" w:rsidRPr="000B4789" w:rsidRDefault="00C54ABB" w:rsidP="000B4789">
            <w:pPr>
              <w:jc w:val="both"/>
              <w:rPr>
                <w:rFonts w:ascii="Arial" w:hAnsi="Arial" w:cs="Arial"/>
                <w:bCs/>
                <w:sz w:val="18"/>
                <w:szCs w:val="20"/>
                <w:lang w:val="pl-PL"/>
              </w:rPr>
            </w:pPr>
            <w:r w:rsidRPr="00C54ABB">
              <w:rPr>
                <w:rFonts w:ascii="Arial" w:hAnsi="Arial" w:cs="Arial"/>
                <w:b/>
                <w:bCs/>
                <w:sz w:val="18"/>
                <w:szCs w:val="20"/>
                <w:lang w:val="pl-PL"/>
              </w:rPr>
              <w:t xml:space="preserve">Nazwa zestawu: </w:t>
            </w:r>
            <w:r w:rsidR="000B4789" w:rsidRPr="000B4789">
              <w:rPr>
                <w:rFonts w:ascii="Arial" w:hAnsi="Arial" w:cs="Arial"/>
                <w:bCs/>
                <w:sz w:val="18"/>
                <w:szCs w:val="20"/>
                <w:lang w:val="pl-PL"/>
              </w:rPr>
              <w:t>Identyfikacja potrzeb grupy (klasy) w zakresie uniwersalnej prewencji demoralizacji</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Poziom PRK</w:t>
            </w:r>
            <w:r>
              <w:rPr>
                <w:rFonts w:ascii="Arial" w:hAnsi="Arial" w:cs="Arial"/>
                <w:b/>
                <w:bCs/>
                <w:sz w:val="18"/>
                <w:szCs w:val="20"/>
                <w:lang w:val="pl-PL"/>
              </w:rPr>
              <w:t xml:space="preserve">: </w:t>
            </w:r>
            <w:r w:rsidRPr="000B4789">
              <w:rPr>
                <w:rFonts w:ascii="Arial" w:hAnsi="Arial" w:cs="Arial"/>
                <w:bCs/>
                <w:sz w:val="18"/>
                <w:szCs w:val="20"/>
                <w:lang w:val="pl-PL"/>
              </w:rPr>
              <w:t>6</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Orientacyjny nakład pracy [</w:t>
            </w:r>
            <w:proofErr w:type="spellStart"/>
            <w:r w:rsidRPr="000B4789">
              <w:rPr>
                <w:rFonts w:ascii="Arial" w:hAnsi="Arial" w:cs="Arial"/>
                <w:b/>
                <w:bCs/>
                <w:sz w:val="18"/>
                <w:szCs w:val="20"/>
                <w:lang w:val="pl-PL"/>
              </w:rPr>
              <w:t>godz</w:t>
            </w:r>
            <w:proofErr w:type="spellEnd"/>
            <w:r w:rsidRPr="000B4789">
              <w:rPr>
                <w:rFonts w:ascii="Arial" w:hAnsi="Arial" w:cs="Arial"/>
                <w:b/>
                <w:bCs/>
                <w:sz w:val="18"/>
                <w:szCs w:val="20"/>
                <w:lang w:val="pl-PL"/>
              </w:rPr>
              <w:t>]:</w:t>
            </w:r>
            <w:r>
              <w:rPr>
                <w:rFonts w:ascii="Arial" w:hAnsi="Arial" w:cs="Arial"/>
                <w:b/>
                <w:bCs/>
                <w:sz w:val="18"/>
                <w:szCs w:val="20"/>
                <w:lang w:val="pl-PL"/>
              </w:rPr>
              <w:t xml:space="preserve"> </w:t>
            </w:r>
            <w:r w:rsidRPr="000B4789">
              <w:rPr>
                <w:rFonts w:ascii="Arial" w:hAnsi="Arial" w:cs="Arial"/>
                <w:bCs/>
                <w:sz w:val="18"/>
                <w:szCs w:val="20"/>
                <w:lang w:val="pl-PL"/>
              </w:rPr>
              <w:t>100</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Rodzaj zestawu:</w:t>
            </w:r>
            <w:r>
              <w:rPr>
                <w:rFonts w:ascii="Arial" w:hAnsi="Arial" w:cs="Arial"/>
                <w:b/>
                <w:bCs/>
                <w:sz w:val="18"/>
                <w:szCs w:val="20"/>
                <w:lang w:val="pl-PL"/>
              </w:rPr>
              <w:t xml:space="preserve"> </w:t>
            </w:r>
            <w:r w:rsidRPr="000B4789">
              <w:rPr>
                <w:rFonts w:ascii="Arial" w:hAnsi="Arial" w:cs="Arial"/>
                <w:bCs/>
                <w:sz w:val="18"/>
                <w:szCs w:val="20"/>
                <w:lang w:val="pl-PL"/>
              </w:rPr>
              <w:t>obowiązkowy</w:t>
            </w:r>
          </w:p>
          <w:p w:rsid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Poszczególne efekty uczenia się oraz kryteria weryfikacji ich osiągnięcia:</w:t>
            </w:r>
          </w:p>
          <w:p w:rsidR="000B4789" w:rsidRPr="000B4789" w:rsidRDefault="000B4789" w:rsidP="000B4789">
            <w:pPr>
              <w:jc w:val="both"/>
              <w:rPr>
                <w:rFonts w:ascii="Arial" w:hAnsi="Arial" w:cs="Arial"/>
                <w:b/>
                <w:bCs/>
                <w:sz w:val="18"/>
                <w:szCs w:val="20"/>
                <w:lang w:val="pl-PL"/>
              </w:rPr>
            </w:pP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lastRenderedPageBreak/>
              <w:t>A. Posługuje się wiedzą dotyczącą zjawiska demoralizacji</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Kryteria weryfikacji</w:t>
            </w:r>
          </w:p>
          <w:p w:rsidR="000B4789" w:rsidRDefault="000B4789" w:rsidP="000B4789">
            <w:pPr>
              <w:jc w:val="both"/>
              <w:rPr>
                <w:rFonts w:ascii="Arial" w:hAnsi="Arial" w:cs="Arial"/>
                <w:bCs/>
                <w:sz w:val="18"/>
                <w:szCs w:val="20"/>
                <w:lang w:val="pl-PL"/>
              </w:rPr>
            </w:pPr>
            <w:r w:rsidRPr="000B4789">
              <w:rPr>
                <w:rFonts w:ascii="Arial" w:hAnsi="Arial" w:cs="Arial"/>
                <w:bCs/>
                <w:sz w:val="18"/>
                <w:szCs w:val="20"/>
                <w:lang w:val="pl-PL"/>
              </w:rPr>
              <w:t xml:space="preserve">- omawia pojęcie demoralizacji i niedostosowania społecznego; - przedstawia konsekwencje demoralizacji w wymiarze społecznym i prawnym; - charakteryzuje różne formy prewencji demoralizacji (pierwszo-, drugo-, trzeciorzędowej); - opisuje postępowanie organów uprawnionych do interwencji w przypadku podejrzenia demoralizacji (szkoły, policji, sądu rodzinnego). </w:t>
            </w:r>
          </w:p>
          <w:p w:rsidR="000B4789" w:rsidRPr="000B4789" w:rsidRDefault="000B4789" w:rsidP="000B4789">
            <w:pPr>
              <w:jc w:val="both"/>
              <w:rPr>
                <w:rFonts w:ascii="Arial" w:hAnsi="Arial" w:cs="Arial"/>
                <w:bCs/>
                <w:sz w:val="18"/>
                <w:szCs w:val="20"/>
                <w:lang w:val="pl-PL"/>
              </w:rPr>
            </w:pP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B. Identyfikuje potrzeby klasy w zakresie pierwszorzędowej prewencji demoralizacji</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Kryteria weryfikacji</w:t>
            </w:r>
          </w:p>
          <w:p w:rsidR="000B4789" w:rsidRPr="000B4789" w:rsidRDefault="000B4789" w:rsidP="000B4789">
            <w:pPr>
              <w:jc w:val="both"/>
              <w:rPr>
                <w:rFonts w:ascii="Arial" w:hAnsi="Arial" w:cs="Arial"/>
                <w:bCs/>
                <w:sz w:val="18"/>
                <w:szCs w:val="20"/>
                <w:lang w:val="pl-PL"/>
              </w:rPr>
            </w:pPr>
            <w:r w:rsidRPr="000B4789">
              <w:rPr>
                <w:rFonts w:ascii="Arial" w:hAnsi="Arial" w:cs="Arial"/>
                <w:bCs/>
                <w:sz w:val="18"/>
                <w:szCs w:val="20"/>
                <w:lang w:val="pl-PL"/>
              </w:rPr>
              <w:t xml:space="preserve">- zbiera dane o grupie (klasie), dotyczące potrzeb w zakresie prewencji demoralizacji (dokumenty i inne zastane źródła danych, zbiera dane od nauczycieli, wychowawców klas, pedagogów szkolnych itp.); - analizuje i syntetyzuje zgromadzone dokumenty; - przygotowuje przykładowe opisy/scenariusze </w:t>
            </w:r>
            <w:proofErr w:type="spellStart"/>
            <w:r w:rsidRPr="000B4789">
              <w:rPr>
                <w:rFonts w:ascii="Arial" w:hAnsi="Arial" w:cs="Arial"/>
                <w:bCs/>
                <w:sz w:val="18"/>
                <w:szCs w:val="20"/>
                <w:lang w:val="pl-PL"/>
              </w:rPr>
              <w:t>zachowań</w:t>
            </w:r>
            <w:proofErr w:type="spellEnd"/>
            <w:r w:rsidRPr="000B4789">
              <w:rPr>
                <w:rFonts w:ascii="Arial" w:hAnsi="Arial" w:cs="Arial"/>
                <w:bCs/>
                <w:sz w:val="18"/>
                <w:szCs w:val="20"/>
                <w:lang w:val="pl-PL"/>
              </w:rPr>
              <w:t xml:space="preserve">, które mogą stanowić przejaw demoralizacji; - wskazuje potencjalne przyczyny </w:t>
            </w:r>
            <w:proofErr w:type="spellStart"/>
            <w:r w:rsidRPr="000B4789">
              <w:rPr>
                <w:rFonts w:ascii="Arial" w:hAnsi="Arial" w:cs="Arial"/>
                <w:bCs/>
                <w:sz w:val="18"/>
                <w:szCs w:val="20"/>
                <w:lang w:val="pl-PL"/>
              </w:rPr>
              <w:t>zachowań</w:t>
            </w:r>
            <w:proofErr w:type="spellEnd"/>
            <w:r w:rsidRPr="000B4789">
              <w:rPr>
                <w:rFonts w:ascii="Arial" w:hAnsi="Arial" w:cs="Arial"/>
                <w:bCs/>
                <w:sz w:val="18"/>
                <w:szCs w:val="20"/>
                <w:lang w:val="pl-PL"/>
              </w:rPr>
              <w:t xml:space="preserve">, mogących świadczyć o demoralizacji (na ww. przykładach); - charakteryzuje okoliczności (np. indywidualne, społeczne), które mogą przyczyniać się do </w:t>
            </w:r>
            <w:proofErr w:type="spellStart"/>
            <w:r w:rsidRPr="000B4789">
              <w:rPr>
                <w:rFonts w:ascii="Arial" w:hAnsi="Arial" w:cs="Arial"/>
                <w:bCs/>
                <w:sz w:val="18"/>
                <w:szCs w:val="20"/>
                <w:lang w:val="pl-PL"/>
              </w:rPr>
              <w:t>zachowań</w:t>
            </w:r>
            <w:proofErr w:type="spellEnd"/>
            <w:r w:rsidRPr="000B4789">
              <w:rPr>
                <w:rFonts w:ascii="Arial" w:hAnsi="Arial" w:cs="Arial"/>
                <w:bCs/>
                <w:sz w:val="18"/>
                <w:szCs w:val="20"/>
                <w:lang w:val="pl-PL"/>
              </w:rPr>
              <w:t xml:space="preserve"> definiowanych jako przejaw demoralizacji; - proponuje rozwiązania sytuacji problemowych przedstawionych w przykładach, mające przeciwdziałać demoralizacji. </w:t>
            </w:r>
          </w:p>
          <w:p w:rsidR="000B4789" w:rsidRDefault="000B4789" w:rsidP="000B4789">
            <w:pPr>
              <w:jc w:val="both"/>
              <w:rPr>
                <w:rFonts w:ascii="Arial" w:hAnsi="Arial" w:cs="Arial"/>
                <w:bCs/>
                <w:sz w:val="18"/>
                <w:szCs w:val="20"/>
                <w:lang w:val="pl-PL"/>
              </w:rPr>
            </w:pP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C. Prowadzi rozmowę grupową</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Kryteria weryfikacji</w:t>
            </w:r>
          </w:p>
          <w:p w:rsidR="00C54ABB" w:rsidRPr="00920287" w:rsidRDefault="000B4789" w:rsidP="000B4789">
            <w:pPr>
              <w:spacing w:line="276" w:lineRule="auto"/>
              <w:jc w:val="both"/>
              <w:rPr>
                <w:rFonts w:ascii="Arial" w:hAnsi="Arial" w:cs="Arial"/>
                <w:bCs/>
                <w:sz w:val="18"/>
                <w:szCs w:val="20"/>
                <w:lang w:val="pl-PL"/>
              </w:rPr>
            </w:pPr>
            <w:r w:rsidRPr="000B4789">
              <w:rPr>
                <w:rFonts w:ascii="Arial" w:hAnsi="Arial" w:cs="Arial"/>
                <w:bCs/>
                <w:sz w:val="18"/>
                <w:szCs w:val="20"/>
                <w:lang w:val="pl-PL"/>
              </w:rPr>
              <w:t xml:space="preserve">- angażuje grupę (klasę) w dyskusję na temat przygotowanych przykładów, przyczyn </w:t>
            </w:r>
            <w:proofErr w:type="spellStart"/>
            <w:r w:rsidRPr="000B4789">
              <w:rPr>
                <w:rFonts w:ascii="Arial" w:hAnsi="Arial" w:cs="Arial"/>
                <w:bCs/>
                <w:sz w:val="18"/>
                <w:szCs w:val="20"/>
                <w:lang w:val="pl-PL"/>
              </w:rPr>
              <w:t>zachowań</w:t>
            </w:r>
            <w:proofErr w:type="spellEnd"/>
            <w:r w:rsidRPr="000B4789">
              <w:rPr>
                <w:rFonts w:ascii="Arial" w:hAnsi="Arial" w:cs="Arial"/>
                <w:bCs/>
                <w:sz w:val="18"/>
                <w:szCs w:val="20"/>
                <w:lang w:val="pl-PL"/>
              </w:rPr>
              <w:t xml:space="preserve"> mogących stanowić przejaw demoralizacji oraz potencjalnych rozwiązań dla przedstawionych sytuacji problemowych; - prowadzi dyskusję grupową na temat potencjalnych źródeł zagrożeń demoralizacją (czynniki ryzyka) oraz czynników, które chronią przed uleganiem demoralizacji (czynniki ochronne), występujących w grupie (klasie).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Pr="00832F43" w:rsidRDefault="00832F43" w:rsidP="007E4966">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2</w:t>
            </w:r>
          </w:p>
          <w:p w:rsidR="00832F43" w:rsidRDefault="00832F43" w:rsidP="007E4966">
            <w:pPr>
              <w:spacing w:line="276" w:lineRule="auto"/>
              <w:jc w:val="both"/>
              <w:rPr>
                <w:rFonts w:ascii="Arial" w:hAnsi="Arial" w:cs="Arial"/>
                <w:b/>
                <w:bCs/>
                <w:sz w:val="18"/>
                <w:szCs w:val="20"/>
                <w:lang w:val="pl-PL"/>
              </w:rPr>
            </w:pPr>
          </w:p>
          <w:p w:rsidR="000B4789" w:rsidRPr="000B4789" w:rsidRDefault="00832F43" w:rsidP="000B4789">
            <w:pPr>
              <w:jc w:val="both"/>
              <w:rPr>
                <w:rFonts w:ascii="Arial" w:hAnsi="Arial" w:cs="Arial"/>
                <w:bCs/>
                <w:sz w:val="18"/>
                <w:szCs w:val="20"/>
                <w:lang w:val="pl-PL"/>
              </w:rPr>
            </w:pPr>
            <w:r w:rsidRPr="00832F43">
              <w:rPr>
                <w:rFonts w:ascii="Arial" w:hAnsi="Arial" w:cs="Arial"/>
                <w:b/>
                <w:bCs/>
                <w:sz w:val="18"/>
                <w:szCs w:val="20"/>
                <w:lang w:val="pl-PL"/>
              </w:rPr>
              <w:t>Nazwa zestawu:</w:t>
            </w:r>
            <w:r>
              <w:rPr>
                <w:rFonts w:ascii="Arial" w:hAnsi="Arial" w:cs="Arial"/>
                <w:b/>
                <w:bCs/>
                <w:sz w:val="18"/>
                <w:szCs w:val="20"/>
                <w:lang w:val="pl-PL"/>
              </w:rPr>
              <w:t xml:space="preserve"> </w:t>
            </w:r>
            <w:r w:rsidR="000B4789" w:rsidRPr="000B4789">
              <w:rPr>
                <w:rFonts w:ascii="Arial" w:hAnsi="Arial" w:cs="Arial"/>
                <w:bCs/>
                <w:sz w:val="18"/>
                <w:szCs w:val="20"/>
                <w:lang w:val="pl-PL"/>
              </w:rPr>
              <w:t>Opracowanie i wdrożenie programu prewencyjnego demoralizacji na poziomie grupy (klasy) dostosowanego do jej potrzeb</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Poziom PRK:</w:t>
            </w:r>
            <w:r>
              <w:rPr>
                <w:rFonts w:ascii="Arial" w:hAnsi="Arial" w:cs="Arial"/>
                <w:b/>
                <w:bCs/>
                <w:sz w:val="18"/>
                <w:szCs w:val="20"/>
                <w:lang w:val="pl-PL"/>
              </w:rPr>
              <w:t xml:space="preserve"> </w:t>
            </w:r>
            <w:r w:rsidRPr="000B4789">
              <w:rPr>
                <w:rFonts w:ascii="Arial" w:hAnsi="Arial" w:cs="Arial"/>
                <w:bCs/>
                <w:sz w:val="18"/>
                <w:szCs w:val="20"/>
                <w:lang w:val="pl-PL"/>
              </w:rPr>
              <w:t>6</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Orientacyjny nakład pracy [</w:t>
            </w:r>
            <w:proofErr w:type="spellStart"/>
            <w:r w:rsidRPr="000B4789">
              <w:rPr>
                <w:rFonts w:ascii="Arial" w:hAnsi="Arial" w:cs="Arial"/>
                <w:b/>
                <w:bCs/>
                <w:sz w:val="18"/>
                <w:szCs w:val="20"/>
                <w:lang w:val="pl-PL"/>
              </w:rPr>
              <w:t>godz</w:t>
            </w:r>
            <w:proofErr w:type="spellEnd"/>
            <w:r w:rsidRPr="000B4789">
              <w:rPr>
                <w:rFonts w:ascii="Arial" w:hAnsi="Arial" w:cs="Arial"/>
                <w:b/>
                <w:bCs/>
                <w:sz w:val="18"/>
                <w:szCs w:val="20"/>
                <w:lang w:val="pl-PL"/>
              </w:rPr>
              <w:t>]:</w:t>
            </w:r>
            <w:r>
              <w:rPr>
                <w:rFonts w:ascii="Arial" w:hAnsi="Arial" w:cs="Arial"/>
                <w:b/>
                <w:bCs/>
                <w:sz w:val="18"/>
                <w:szCs w:val="20"/>
                <w:lang w:val="pl-PL"/>
              </w:rPr>
              <w:t xml:space="preserve"> </w:t>
            </w:r>
            <w:r w:rsidRPr="000B4789">
              <w:rPr>
                <w:rFonts w:ascii="Arial" w:hAnsi="Arial" w:cs="Arial"/>
                <w:bCs/>
                <w:sz w:val="18"/>
                <w:szCs w:val="20"/>
                <w:lang w:val="pl-PL"/>
              </w:rPr>
              <w:t>120</w:t>
            </w:r>
          </w:p>
          <w:p w:rsidR="000B4789" w:rsidRPr="000B4789" w:rsidRDefault="000B4789" w:rsidP="000B4789">
            <w:pPr>
              <w:jc w:val="both"/>
              <w:rPr>
                <w:rFonts w:ascii="Arial" w:hAnsi="Arial" w:cs="Arial"/>
                <w:bCs/>
                <w:sz w:val="18"/>
                <w:szCs w:val="20"/>
                <w:lang w:val="pl-PL"/>
              </w:rPr>
            </w:pPr>
            <w:r w:rsidRPr="000B4789">
              <w:rPr>
                <w:rFonts w:ascii="Arial" w:hAnsi="Arial" w:cs="Arial"/>
                <w:b/>
                <w:bCs/>
                <w:sz w:val="18"/>
                <w:szCs w:val="20"/>
                <w:lang w:val="pl-PL"/>
              </w:rPr>
              <w:t>Rodzaj zestawu</w:t>
            </w:r>
            <w:r>
              <w:rPr>
                <w:rFonts w:ascii="Arial" w:hAnsi="Arial" w:cs="Arial"/>
                <w:bCs/>
                <w:sz w:val="18"/>
                <w:szCs w:val="20"/>
                <w:lang w:val="pl-PL"/>
              </w:rPr>
              <w:t xml:space="preserve">: </w:t>
            </w:r>
            <w:r w:rsidRPr="000B4789">
              <w:rPr>
                <w:rFonts w:ascii="Arial" w:hAnsi="Arial" w:cs="Arial"/>
                <w:bCs/>
                <w:sz w:val="18"/>
                <w:szCs w:val="20"/>
                <w:lang w:val="pl-PL"/>
              </w:rPr>
              <w:t>obowiązkowy</w:t>
            </w:r>
          </w:p>
          <w:p w:rsidR="000B4789" w:rsidRPr="000B4789" w:rsidRDefault="000B4789" w:rsidP="000B4789">
            <w:pPr>
              <w:jc w:val="both"/>
              <w:rPr>
                <w:rFonts w:ascii="Arial" w:hAnsi="Arial" w:cs="Arial"/>
                <w:b/>
                <w:bCs/>
                <w:sz w:val="18"/>
                <w:szCs w:val="20"/>
                <w:lang w:val="pl-PL"/>
              </w:rPr>
            </w:pPr>
            <w:r w:rsidRPr="000B4789">
              <w:rPr>
                <w:rFonts w:ascii="Arial" w:hAnsi="Arial" w:cs="Arial"/>
                <w:b/>
                <w:bCs/>
                <w:sz w:val="18"/>
                <w:szCs w:val="20"/>
                <w:lang w:val="pl-PL"/>
              </w:rPr>
              <w:t>Poszczególne efekty uczenia się oraz kryteria weryfikacji ich osiągnięcia:</w:t>
            </w:r>
          </w:p>
          <w:p w:rsidR="001C5EDE" w:rsidRDefault="001C5EDE" w:rsidP="000B4789">
            <w:pPr>
              <w:jc w:val="both"/>
              <w:rPr>
                <w:rFonts w:ascii="Arial" w:hAnsi="Arial" w:cs="Arial"/>
                <w:b/>
                <w:bCs/>
                <w:sz w:val="18"/>
                <w:szCs w:val="20"/>
                <w:lang w:val="pl-PL"/>
              </w:rPr>
            </w:pP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A. Przygotowuje plan prewencyjny dla grupy/klasy</w:t>
            </w: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Kryteria weryfikacji</w:t>
            </w:r>
          </w:p>
          <w:p w:rsidR="000B4789" w:rsidRDefault="000B4789" w:rsidP="000B4789">
            <w:pPr>
              <w:jc w:val="both"/>
              <w:rPr>
                <w:rFonts w:ascii="Arial" w:hAnsi="Arial" w:cs="Arial"/>
                <w:bCs/>
                <w:sz w:val="18"/>
                <w:szCs w:val="20"/>
                <w:lang w:val="pl-PL"/>
              </w:rPr>
            </w:pPr>
            <w:r w:rsidRPr="000B4789">
              <w:rPr>
                <w:rFonts w:ascii="Arial" w:hAnsi="Arial" w:cs="Arial"/>
                <w:bCs/>
                <w:sz w:val="18"/>
                <w:szCs w:val="20"/>
                <w:lang w:val="pl-PL"/>
              </w:rPr>
              <w:lastRenderedPageBreak/>
              <w:t xml:space="preserve">- omawia potencjalne źródła zagrożeń demoralizacją w grupie (klasie); - omawia czynniki służące ochronie przed demoralizacją w grupie (klasie); - określa zasady pożądanego zachowania się uczniów w grupie (klasie); - określa sposoby radzenia sobie w sytuacjach problemowych (wynikających z zagrożenia demoralizacją) przez uczniów; - określa umiejętności, jakie są przydatne uczniom do radzenia sobie w oczekiwany sposób w sytuacjach problemowych; - dobiera techniki/metody nabywania ww. umiejętności; - opracowuje plan działania w grupie uwzględniający ww. elementy. </w:t>
            </w:r>
          </w:p>
          <w:p w:rsidR="001C5EDE" w:rsidRPr="000B4789" w:rsidRDefault="001C5EDE" w:rsidP="000B4789">
            <w:pPr>
              <w:jc w:val="both"/>
              <w:rPr>
                <w:rFonts w:ascii="Arial" w:hAnsi="Arial" w:cs="Arial"/>
                <w:bCs/>
                <w:sz w:val="18"/>
                <w:szCs w:val="20"/>
                <w:lang w:val="pl-PL"/>
              </w:rPr>
            </w:pP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B. Wdraża plan prewencyjny dla grupy/klasy</w:t>
            </w: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Kryteria weryfikacji</w:t>
            </w:r>
          </w:p>
          <w:p w:rsidR="000B4789" w:rsidRPr="000B4789" w:rsidRDefault="000B4789" w:rsidP="000B4789">
            <w:pPr>
              <w:jc w:val="both"/>
              <w:rPr>
                <w:rFonts w:ascii="Arial" w:hAnsi="Arial" w:cs="Arial"/>
                <w:bCs/>
                <w:sz w:val="18"/>
                <w:szCs w:val="20"/>
                <w:lang w:val="pl-PL"/>
              </w:rPr>
            </w:pPr>
            <w:r w:rsidRPr="000B4789">
              <w:rPr>
                <w:rFonts w:ascii="Arial" w:hAnsi="Arial" w:cs="Arial"/>
                <w:bCs/>
                <w:sz w:val="18"/>
                <w:szCs w:val="20"/>
                <w:lang w:val="pl-PL"/>
              </w:rPr>
              <w:t xml:space="preserve">- objaśnia założenia planu prewencyjnego przygotowanego dla grupy; - opracowuje i przedstawia system motywacyjny, mający na celu realizację przez członków grupy (uczniów) planu prewencyjnego; </w:t>
            </w:r>
          </w:p>
          <w:p w:rsidR="001C5EDE" w:rsidRDefault="001C5EDE" w:rsidP="000B4789">
            <w:pPr>
              <w:jc w:val="both"/>
              <w:rPr>
                <w:rFonts w:ascii="Arial" w:hAnsi="Arial" w:cs="Arial"/>
                <w:bCs/>
                <w:sz w:val="18"/>
                <w:szCs w:val="20"/>
                <w:lang w:val="pl-PL"/>
              </w:rPr>
            </w:pP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C. Monitoruje realizację planu prewencyjnego dla grupy/klasy</w:t>
            </w:r>
          </w:p>
          <w:p w:rsidR="000B4789" w:rsidRPr="001C5EDE" w:rsidRDefault="000B4789" w:rsidP="000B4789">
            <w:pPr>
              <w:jc w:val="both"/>
              <w:rPr>
                <w:rFonts w:ascii="Arial" w:hAnsi="Arial" w:cs="Arial"/>
                <w:b/>
                <w:bCs/>
                <w:sz w:val="18"/>
                <w:szCs w:val="20"/>
                <w:lang w:val="pl-PL"/>
              </w:rPr>
            </w:pPr>
            <w:r w:rsidRPr="001C5EDE">
              <w:rPr>
                <w:rFonts w:ascii="Arial" w:hAnsi="Arial" w:cs="Arial"/>
                <w:b/>
                <w:bCs/>
                <w:sz w:val="18"/>
                <w:szCs w:val="20"/>
                <w:lang w:val="pl-PL"/>
              </w:rPr>
              <w:t>Kryteria weryfikacji</w:t>
            </w:r>
          </w:p>
          <w:p w:rsidR="00C54ABB" w:rsidRPr="00920287" w:rsidRDefault="000B4789" w:rsidP="000B4789">
            <w:pPr>
              <w:spacing w:line="276" w:lineRule="auto"/>
              <w:jc w:val="both"/>
              <w:rPr>
                <w:rFonts w:ascii="Arial" w:hAnsi="Arial" w:cs="Arial"/>
                <w:bCs/>
                <w:sz w:val="18"/>
                <w:szCs w:val="20"/>
                <w:lang w:val="pl-PL"/>
              </w:rPr>
            </w:pPr>
            <w:r w:rsidRPr="000B4789">
              <w:rPr>
                <w:rFonts w:ascii="Arial" w:hAnsi="Arial" w:cs="Arial"/>
                <w:bCs/>
                <w:sz w:val="18"/>
                <w:szCs w:val="20"/>
                <w:lang w:val="pl-PL"/>
              </w:rPr>
              <w:t>- obserwuje i zbiera dane dotyczące realizacji programu przez grupę i poszczególnych jej członków; - identyfikuje uczniów znajdujących się w grupie szczególnego zagrożenia demoralizacją.</w:t>
            </w:r>
            <w:r w:rsidR="001F1052" w:rsidRPr="001F1052">
              <w:rPr>
                <w:rFonts w:ascii="Arial" w:hAnsi="Arial" w:cs="Arial"/>
                <w:bCs/>
                <w:sz w:val="18"/>
                <w:szCs w:val="20"/>
                <w:lang w:val="pl-PL"/>
              </w:rPr>
              <w:t>.</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C5EDE" w:rsidRPr="00102F7E" w:rsidTr="00157852">
        <w:trPr>
          <w:trHeight w:val="1077"/>
        </w:trPr>
        <w:tc>
          <w:tcPr>
            <w:tcW w:w="562" w:type="dxa"/>
          </w:tcPr>
          <w:p w:rsidR="001C5EDE" w:rsidRPr="00102F7E" w:rsidRDefault="001C5EDE" w:rsidP="007E4966">
            <w:pPr>
              <w:pStyle w:val="Akapitzlist"/>
              <w:numPr>
                <w:ilvl w:val="0"/>
                <w:numId w:val="3"/>
              </w:numPr>
              <w:rPr>
                <w:rFonts w:ascii="Arial" w:hAnsi="Arial" w:cs="Arial"/>
                <w:bCs/>
                <w:sz w:val="18"/>
                <w:szCs w:val="20"/>
              </w:rPr>
            </w:pPr>
          </w:p>
        </w:tc>
        <w:tc>
          <w:tcPr>
            <w:tcW w:w="6941" w:type="dxa"/>
          </w:tcPr>
          <w:p w:rsidR="001C5EDE" w:rsidRPr="00832F43" w:rsidRDefault="001C5EDE" w:rsidP="001C5EDE">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3</w:t>
            </w:r>
          </w:p>
          <w:p w:rsidR="001C5EDE" w:rsidRDefault="001C5EDE" w:rsidP="001C5EDE">
            <w:pPr>
              <w:spacing w:line="276" w:lineRule="auto"/>
              <w:jc w:val="both"/>
              <w:rPr>
                <w:rFonts w:ascii="Arial" w:hAnsi="Arial" w:cs="Arial"/>
                <w:b/>
                <w:bCs/>
                <w:sz w:val="18"/>
                <w:szCs w:val="20"/>
                <w:lang w:val="pl-PL"/>
              </w:rPr>
            </w:pPr>
          </w:p>
          <w:p w:rsidR="001C5EDE" w:rsidRPr="001C5EDE" w:rsidRDefault="001C5EDE" w:rsidP="001C5EDE">
            <w:pPr>
              <w:jc w:val="both"/>
              <w:rPr>
                <w:rFonts w:ascii="Arial" w:hAnsi="Arial" w:cs="Arial"/>
                <w:b/>
                <w:bCs/>
                <w:sz w:val="18"/>
                <w:szCs w:val="20"/>
                <w:lang w:val="pl-PL"/>
              </w:rPr>
            </w:pPr>
            <w:r w:rsidRPr="00832F43">
              <w:rPr>
                <w:rFonts w:ascii="Arial" w:hAnsi="Arial" w:cs="Arial"/>
                <w:b/>
                <w:bCs/>
                <w:sz w:val="18"/>
                <w:szCs w:val="20"/>
                <w:lang w:val="pl-PL"/>
              </w:rPr>
              <w:t>Nazwa zestawu:</w:t>
            </w:r>
            <w:r>
              <w:t xml:space="preserve"> </w:t>
            </w:r>
            <w:r w:rsidRPr="001C5EDE">
              <w:rPr>
                <w:rFonts w:ascii="Arial" w:hAnsi="Arial" w:cs="Arial"/>
                <w:bCs/>
                <w:sz w:val="18"/>
                <w:szCs w:val="20"/>
                <w:lang w:val="pl-PL"/>
              </w:rPr>
              <w:t>Diagnoza uczniów pod względem występowania czynników ryzyka demoralizacji i chroniących przed nią oraz planowanie interwencji</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Poziom PRK</w:t>
            </w:r>
            <w:r>
              <w:rPr>
                <w:rFonts w:ascii="Arial" w:hAnsi="Arial" w:cs="Arial"/>
                <w:b/>
                <w:bCs/>
                <w:sz w:val="18"/>
                <w:szCs w:val="20"/>
                <w:lang w:val="pl-PL"/>
              </w:rPr>
              <w:t xml:space="preserve">: </w:t>
            </w:r>
            <w:r w:rsidRPr="001C5EDE">
              <w:rPr>
                <w:rFonts w:ascii="Arial" w:hAnsi="Arial" w:cs="Arial"/>
                <w:bCs/>
                <w:sz w:val="18"/>
                <w:szCs w:val="20"/>
                <w:lang w:val="pl-PL"/>
              </w:rPr>
              <w:t>5</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Orientacyjny nakład pracy [</w:t>
            </w:r>
            <w:proofErr w:type="spellStart"/>
            <w:r w:rsidRPr="001C5EDE">
              <w:rPr>
                <w:rFonts w:ascii="Arial" w:hAnsi="Arial" w:cs="Arial"/>
                <w:b/>
                <w:bCs/>
                <w:sz w:val="18"/>
                <w:szCs w:val="20"/>
                <w:lang w:val="pl-PL"/>
              </w:rPr>
              <w:t>godz</w:t>
            </w:r>
            <w:proofErr w:type="spellEnd"/>
            <w:r w:rsidRPr="001C5EDE">
              <w:rPr>
                <w:rFonts w:ascii="Arial" w:hAnsi="Arial" w:cs="Arial"/>
                <w:b/>
                <w:bCs/>
                <w:sz w:val="18"/>
                <w:szCs w:val="20"/>
                <w:lang w:val="pl-PL"/>
              </w:rPr>
              <w:t>]</w:t>
            </w:r>
            <w:r>
              <w:rPr>
                <w:rFonts w:ascii="Arial" w:hAnsi="Arial" w:cs="Arial"/>
                <w:b/>
                <w:bCs/>
                <w:sz w:val="18"/>
                <w:szCs w:val="20"/>
                <w:lang w:val="pl-PL"/>
              </w:rPr>
              <w:t xml:space="preserve">: </w:t>
            </w:r>
            <w:r w:rsidRPr="001C5EDE">
              <w:rPr>
                <w:rFonts w:ascii="Arial" w:hAnsi="Arial" w:cs="Arial"/>
                <w:bCs/>
                <w:sz w:val="18"/>
                <w:szCs w:val="20"/>
                <w:lang w:val="pl-PL"/>
              </w:rPr>
              <w:t>100</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Rodzaj zestawu</w:t>
            </w:r>
            <w:r>
              <w:rPr>
                <w:rFonts w:ascii="Arial" w:hAnsi="Arial" w:cs="Arial"/>
                <w:b/>
                <w:bCs/>
                <w:sz w:val="18"/>
                <w:szCs w:val="20"/>
                <w:lang w:val="pl-PL"/>
              </w:rPr>
              <w:t xml:space="preserve">: </w:t>
            </w:r>
            <w:r w:rsidRPr="001C5EDE">
              <w:rPr>
                <w:rFonts w:ascii="Arial" w:hAnsi="Arial" w:cs="Arial"/>
                <w:bCs/>
                <w:sz w:val="18"/>
                <w:szCs w:val="20"/>
                <w:lang w:val="pl-PL"/>
              </w:rPr>
              <w:t>obowiązkowy</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Poszczególne efekty uczenia się oraz kryteria weryfikacji ich osiągnięcia</w:t>
            </w:r>
            <w:r>
              <w:rPr>
                <w:rFonts w:ascii="Arial" w:hAnsi="Arial" w:cs="Arial"/>
                <w:b/>
                <w:bCs/>
                <w:sz w:val="18"/>
                <w:szCs w:val="20"/>
                <w:lang w:val="pl-PL"/>
              </w:rPr>
              <w:t>:</w:t>
            </w:r>
          </w:p>
          <w:p w:rsidR="001C5EDE" w:rsidRDefault="001C5EDE" w:rsidP="001C5EDE">
            <w:pPr>
              <w:jc w:val="both"/>
              <w:rPr>
                <w:rFonts w:ascii="Arial" w:hAnsi="Arial" w:cs="Arial"/>
                <w:b/>
                <w:bCs/>
                <w:sz w:val="18"/>
                <w:szCs w:val="20"/>
                <w:lang w:val="pl-PL"/>
              </w:rPr>
            </w:pP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A. Identyfikuje czynniki ryzyka demoralizacji i czynniki chroniące przed nią</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Kryteria weryfikacji</w:t>
            </w:r>
          </w:p>
          <w:p w:rsidR="001C5EDE" w:rsidRPr="001C5EDE" w:rsidRDefault="001C5EDE" w:rsidP="001C5EDE">
            <w:pPr>
              <w:jc w:val="both"/>
              <w:rPr>
                <w:rFonts w:ascii="Arial" w:hAnsi="Arial" w:cs="Arial"/>
                <w:bCs/>
                <w:sz w:val="18"/>
                <w:szCs w:val="20"/>
                <w:lang w:val="pl-PL"/>
              </w:rPr>
            </w:pPr>
            <w:r w:rsidRPr="001C5EDE">
              <w:rPr>
                <w:rFonts w:ascii="Arial" w:hAnsi="Arial" w:cs="Arial"/>
                <w:bCs/>
                <w:sz w:val="18"/>
                <w:szCs w:val="20"/>
                <w:lang w:val="pl-PL"/>
              </w:rPr>
              <w:t xml:space="preserve">- omawia typologię czynników ryzyka demoralizacji; - omawia typologię czynników chroniących przez demoralizacją; - analizuje indywidualną sytuację ucznia pod kątem występowania zagrożeń demoralizacją; - analizuje sytuację ucznia pod kątem występowania czynników ryzyka i czynników chroniących przed demoralizacją (z uwzględnieniem biografii ucznia oraz sytuacji społecznej – środowisko rodzinne, środowisko rówieśnicze – ucznia). </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B. Przygotowuje raport dotyczący sytuacji ucznia</w:t>
            </w:r>
          </w:p>
          <w:p w:rsidR="001C5EDE" w:rsidRPr="001C5EDE" w:rsidRDefault="001C5EDE" w:rsidP="001C5EDE">
            <w:pPr>
              <w:jc w:val="both"/>
              <w:rPr>
                <w:rFonts w:ascii="Arial" w:hAnsi="Arial" w:cs="Arial"/>
                <w:b/>
                <w:bCs/>
                <w:sz w:val="18"/>
                <w:szCs w:val="20"/>
                <w:lang w:val="pl-PL"/>
              </w:rPr>
            </w:pPr>
            <w:r w:rsidRPr="001C5EDE">
              <w:rPr>
                <w:rFonts w:ascii="Arial" w:hAnsi="Arial" w:cs="Arial"/>
                <w:b/>
                <w:bCs/>
                <w:sz w:val="18"/>
                <w:szCs w:val="20"/>
                <w:lang w:val="pl-PL"/>
              </w:rPr>
              <w:t>Kryteria weryfikacji</w:t>
            </w:r>
          </w:p>
          <w:p w:rsidR="001C5EDE" w:rsidRPr="001C5EDE" w:rsidRDefault="001C5EDE" w:rsidP="001C5EDE">
            <w:pPr>
              <w:jc w:val="both"/>
              <w:rPr>
                <w:rFonts w:ascii="Arial" w:hAnsi="Arial" w:cs="Arial"/>
                <w:bCs/>
                <w:sz w:val="18"/>
                <w:szCs w:val="20"/>
              </w:rPr>
            </w:pPr>
            <w:r w:rsidRPr="001C5EDE">
              <w:rPr>
                <w:rFonts w:ascii="Arial" w:hAnsi="Arial" w:cs="Arial"/>
                <w:bCs/>
                <w:sz w:val="18"/>
                <w:szCs w:val="20"/>
                <w:lang w:val="pl-PL"/>
              </w:rPr>
              <w:t xml:space="preserve">- dokonuje syntezy danych dotyczących ucznia i jego sytuacji z punktu widzenia zagrożenia demoralizacją; - proponuje wstępne zalecenia/rozwiązania mające na celu interwencję w stosunku do ucznia zagrożonego demoralizacją; - angażuje inne </w:t>
            </w:r>
            <w:r w:rsidRPr="001C5EDE">
              <w:rPr>
                <w:rFonts w:ascii="Arial" w:hAnsi="Arial" w:cs="Arial"/>
                <w:bCs/>
                <w:sz w:val="18"/>
                <w:szCs w:val="20"/>
                <w:lang w:val="pl-PL"/>
              </w:rPr>
              <w:lastRenderedPageBreak/>
              <w:t>podmioty w opracowanie ww. zaleceń wobec ucznia (rodziców, nauczycieli, pedagoga, psychologa itp.); - współpracuje z innymi podmiotami w przygotowaniu ww. zaleceń wobec ucznia (rodzicami, nauczycielami, pedagogiem, psychologiem itp.).</w:t>
            </w:r>
          </w:p>
        </w:tc>
        <w:tc>
          <w:tcPr>
            <w:tcW w:w="7229" w:type="dxa"/>
          </w:tcPr>
          <w:p w:rsidR="001C5EDE" w:rsidRPr="00102F7E" w:rsidRDefault="001C5EDE" w:rsidP="007E4966">
            <w:pPr>
              <w:rPr>
                <w:rFonts w:ascii="Arial" w:hAnsi="Arial" w:cs="Arial"/>
                <w:bCs/>
                <w:sz w:val="18"/>
                <w:szCs w:val="20"/>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Okres ważności dokumentu potwierdzającego nadanie kwalifikacji i warunki przedłużenia jego</w:t>
            </w:r>
            <w:r w:rsidR="00920287" w:rsidRPr="00920287">
              <w:rPr>
                <w:rFonts w:ascii="Arial" w:hAnsi="Arial" w:cs="Arial"/>
                <w:b/>
                <w:bCs/>
                <w:sz w:val="18"/>
                <w:szCs w:val="20"/>
                <w:lang w:val="pl-PL"/>
              </w:rPr>
              <w:t xml:space="preserve"> </w:t>
            </w:r>
            <w:r w:rsidRPr="00920287">
              <w:rPr>
                <w:rFonts w:ascii="Arial" w:hAnsi="Arial" w:cs="Arial"/>
                <w:b/>
                <w:bCs/>
                <w:sz w:val="18"/>
                <w:szCs w:val="20"/>
                <w:lang w:val="pl-PL"/>
              </w:rPr>
              <w:t>ważności:</w:t>
            </w:r>
            <w:r w:rsidR="00920287">
              <w:rPr>
                <w:rFonts w:ascii="Arial" w:hAnsi="Arial" w:cs="Arial"/>
                <w:b/>
                <w:bCs/>
                <w:sz w:val="18"/>
                <w:szCs w:val="20"/>
                <w:lang w:val="pl-PL"/>
              </w:rPr>
              <w:t xml:space="preserve"> </w:t>
            </w:r>
            <w:r w:rsidRPr="00832F43">
              <w:rPr>
                <w:rFonts w:ascii="Arial" w:hAnsi="Arial" w:cs="Arial"/>
                <w:bCs/>
                <w:sz w:val="18"/>
                <w:szCs w:val="20"/>
                <w:lang w:val="pl-PL"/>
              </w:rPr>
              <w:t>Ważny bezterminowo</w:t>
            </w:r>
          </w:p>
          <w:p w:rsidR="00920287" w:rsidRDefault="00920287" w:rsidP="007E4966">
            <w:pPr>
              <w:spacing w:line="276" w:lineRule="auto"/>
              <w:jc w:val="both"/>
              <w:rPr>
                <w:rFonts w:ascii="Arial" w:hAnsi="Arial" w:cs="Arial"/>
                <w:bCs/>
                <w:sz w:val="18"/>
                <w:szCs w:val="20"/>
                <w:lang w:val="pl-PL"/>
              </w:rPr>
            </w:pPr>
          </w:p>
          <w:p w:rsidR="00920287"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Nazwa dokumentu potwierdzającego nadanie kwalifikacji:</w:t>
            </w:r>
            <w:r w:rsidR="00920287">
              <w:rPr>
                <w:rFonts w:ascii="Arial" w:hAnsi="Arial" w:cs="Arial"/>
                <w:bCs/>
                <w:sz w:val="18"/>
                <w:szCs w:val="20"/>
                <w:lang w:val="pl-PL"/>
              </w:rPr>
              <w:t xml:space="preserve"> </w:t>
            </w:r>
            <w:r w:rsidRPr="00832F43">
              <w:rPr>
                <w:rFonts w:ascii="Arial" w:hAnsi="Arial" w:cs="Arial"/>
                <w:bCs/>
                <w:sz w:val="18"/>
                <w:szCs w:val="20"/>
                <w:lang w:val="pl-PL"/>
              </w:rPr>
              <w:t>Certyfikat</w:t>
            </w:r>
            <w:r w:rsidR="00920287">
              <w:rPr>
                <w:rFonts w:ascii="Arial" w:hAnsi="Arial" w:cs="Arial"/>
                <w:bCs/>
                <w:sz w:val="18"/>
                <w:szCs w:val="20"/>
                <w:lang w:val="pl-PL"/>
              </w:rPr>
              <w:t xml:space="preserve"> </w:t>
            </w:r>
          </w:p>
          <w:p w:rsidR="00920287" w:rsidRDefault="00920287" w:rsidP="007E4966">
            <w:pPr>
              <w:spacing w:line="276" w:lineRule="auto"/>
              <w:jc w:val="both"/>
              <w:rPr>
                <w:rFonts w:ascii="Arial" w:hAnsi="Arial" w:cs="Arial"/>
                <w:bCs/>
                <w:sz w:val="18"/>
                <w:szCs w:val="20"/>
                <w:lang w:val="pl-PL"/>
              </w:rPr>
            </w:pPr>
          </w:p>
          <w:p w:rsidR="00832F43" w:rsidRPr="00832F43"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Uprawnienia związane z posiadaniem kwalifikacji:</w:t>
            </w:r>
            <w:r w:rsidR="00920287">
              <w:rPr>
                <w:rFonts w:ascii="Arial" w:hAnsi="Arial" w:cs="Arial"/>
                <w:bCs/>
                <w:sz w:val="18"/>
                <w:szCs w:val="20"/>
                <w:lang w:val="pl-PL"/>
              </w:rPr>
              <w:t xml:space="preserve"> </w:t>
            </w:r>
            <w:r w:rsidR="000E4C27" w:rsidRPr="000E4C27">
              <w:rPr>
                <w:rFonts w:ascii="Arial" w:hAnsi="Arial" w:cs="Arial"/>
                <w:bCs/>
                <w:sz w:val="18"/>
                <w:szCs w:val="20"/>
                <w:lang w:val="pl-PL"/>
              </w:rPr>
              <w:t>Nie dotyczy</w:t>
            </w:r>
          </w:p>
          <w:p w:rsidR="00920287" w:rsidRDefault="00920287" w:rsidP="007E4966">
            <w:pPr>
              <w:spacing w:line="276" w:lineRule="auto"/>
              <w:jc w:val="both"/>
              <w:rPr>
                <w:rFonts w:ascii="Arial" w:hAnsi="Arial" w:cs="Arial"/>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dziedziny kształcenia:</w:t>
            </w:r>
            <w:r w:rsidR="00920287">
              <w:rPr>
                <w:rFonts w:ascii="Arial" w:hAnsi="Arial" w:cs="Arial"/>
                <w:b/>
                <w:bCs/>
                <w:sz w:val="18"/>
                <w:szCs w:val="20"/>
                <w:lang w:val="pl-PL"/>
              </w:rPr>
              <w:t xml:space="preserve"> </w:t>
            </w:r>
            <w:r w:rsidR="000E4C27" w:rsidRPr="000E4C27">
              <w:rPr>
                <w:rFonts w:ascii="Arial" w:hAnsi="Arial" w:cs="Arial"/>
                <w:bCs/>
                <w:sz w:val="18"/>
                <w:szCs w:val="20"/>
                <w:lang w:val="pl-PL"/>
              </w:rPr>
              <w:t>31 - Nauki społeczne</w:t>
            </w:r>
          </w:p>
          <w:p w:rsidR="00920287" w:rsidRDefault="00920287" w:rsidP="007E4966">
            <w:pPr>
              <w:spacing w:line="276" w:lineRule="auto"/>
              <w:jc w:val="both"/>
              <w:rPr>
                <w:rFonts w:ascii="Arial" w:hAnsi="Arial" w:cs="Arial"/>
                <w:b/>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PKD:</w:t>
            </w:r>
            <w:r w:rsidR="00920287">
              <w:rPr>
                <w:rFonts w:ascii="Arial" w:hAnsi="Arial" w:cs="Arial"/>
                <w:b/>
                <w:bCs/>
                <w:sz w:val="18"/>
                <w:szCs w:val="20"/>
                <w:lang w:val="pl-PL"/>
              </w:rPr>
              <w:t xml:space="preserve"> </w:t>
            </w:r>
            <w:r w:rsidRPr="00832F43">
              <w:rPr>
                <w:rFonts w:ascii="Arial" w:hAnsi="Arial" w:cs="Arial"/>
                <w:bCs/>
                <w:sz w:val="18"/>
                <w:szCs w:val="20"/>
                <w:lang w:val="pl-PL"/>
              </w:rPr>
              <w:t>85.6 - Działalność wspomagająca edukację</w:t>
            </w:r>
          </w:p>
          <w:p w:rsidR="00102F7E" w:rsidRPr="00102F7E" w:rsidRDefault="00102F7E" w:rsidP="007E4966">
            <w:pPr>
              <w:spacing w:line="276" w:lineRule="auto"/>
              <w:jc w:val="both"/>
              <w:rPr>
                <w:rFonts w:ascii="Arial" w:hAnsi="Arial" w:cs="Arial"/>
                <w:bCs/>
                <w:sz w:val="18"/>
                <w:szCs w:val="20"/>
                <w:lang w:val="pl-PL"/>
              </w:rPr>
            </w:pPr>
          </w:p>
        </w:tc>
        <w:tc>
          <w:tcPr>
            <w:tcW w:w="7229" w:type="dxa"/>
          </w:tcPr>
          <w:p w:rsidR="00102F7E" w:rsidRPr="00102F7E" w:rsidRDefault="00102F7E" w:rsidP="007E4966">
            <w:pPr>
              <w:spacing w:line="276" w:lineRule="auto"/>
              <w:rPr>
                <w:rFonts w:ascii="Arial" w:hAnsi="Arial" w:cs="Arial"/>
                <w:bCs/>
                <w:sz w:val="18"/>
                <w:szCs w:val="20"/>
                <w:lang w:val="pl-PL"/>
              </w:rPr>
            </w:pPr>
          </w:p>
        </w:tc>
      </w:tr>
    </w:tbl>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w:t>
      </w:r>
    </w:p>
    <w:p w:rsidR="00EA005D" w:rsidRPr="00102F7E" w:rsidRDefault="00EA005D" w:rsidP="007E4966">
      <w:pPr>
        <w:spacing w:after="0"/>
        <w:jc w:val="right"/>
        <w:rPr>
          <w:rFonts w:ascii="Arial" w:hAnsi="Arial" w:cs="Arial"/>
          <w:i/>
          <w:sz w:val="20"/>
          <w:szCs w:val="20"/>
        </w:rPr>
      </w:pPr>
      <w:r w:rsidRPr="00102F7E">
        <w:rPr>
          <w:rFonts w:ascii="Arial" w:hAnsi="Arial" w:cs="Arial"/>
          <w:i/>
          <w:sz w:val="16"/>
          <w:szCs w:val="16"/>
        </w:rPr>
        <w:t>(podpis osoby reprezentującej podmiot zgłaszający opinię w ramach konsultacji)</w:t>
      </w:r>
      <w:r w:rsidRPr="00102F7E">
        <w:rPr>
          <w:rFonts w:ascii="Arial" w:hAnsi="Arial" w:cs="Arial"/>
          <w:i/>
          <w:sz w:val="20"/>
          <w:szCs w:val="20"/>
        </w:rPr>
        <w:t xml:space="preserve"> </w:t>
      </w:r>
    </w:p>
    <w:p w:rsidR="001D763E" w:rsidRPr="00102F7E" w:rsidRDefault="001D763E" w:rsidP="007E4966"/>
    <w:sectPr w:rsidR="001D763E" w:rsidRPr="00102F7E" w:rsidSect="00A94906">
      <w:pgSz w:w="16838" w:h="11906" w:orient="landscape"/>
      <w:pgMar w:top="1702" w:right="1417" w:bottom="1134" w:left="1417" w:header="107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802" w:rsidRDefault="00E10802" w:rsidP="00EA005D">
      <w:pPr>
        <w:spacing w:after="0" w:line="240" w:lineRule="auto"/>
      </w:pPr>
      <w:r>
        <w:separator/>
      </w:r>
    </w:p>
  </w:endnote>
  <w:endnote w:type="continuationSeparator" w:id="0">
    <w:p w:rsidR="00E10802" w:rsidRDefault="00E10802" w:rsidP="00E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44015"/>
      <w:docPartObj>
        <w:docPartGallery w:val="Page Numbers (Bottom of Page)"/>
        <w:docPartUnique/>
      </w:docPartObj>
    </w:sdtPr>
    <w:sdtEndPr/>
    <w:sdtContent>
      <w:p w:rsidR="00EA005D" w:rsidRDefault="00EA005D">
        <w:pPr>
          <w:pStyle w:val="Stopka"/>
          <w:jc w:val="center"/>
        </w:pPr>
        <w:r>
          <w:fldChar w:fldCharType="begin"/>
        </w:r>
        <w:r>
          <w:instrText>PAGE   \* MERGEFORMAT</w:instrText>
        </w:r>
        <w:r>
          <w:fldChar w:fldCharType="separate"/>
        </w:r>
        <w:r w:rsidR="00EC22D2">
          <w:rPr>
            <w:noProof/>
          </w:rPr>
          <w:t>11</w:t>
        </w:r>
        <w:r>
          <w:fldChar w:fldCharType="end"/>
        </w:r>
      </w:p>
    </w:sdtContent>
  </w:sdt>
  <w:p w:rsidR="00EA005D" w:rsidRDefault="00EA00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802" w:rsidRDefault="00E10802" w:rsidP="00EA005D">
      <w:pPr>
        <w:spacing w:after="0" w:line="240" w:lineRule="auto"/>
      </w:pPr>
      <w:r>
        <w:separator/>
      </w:r>
    </w:p>
  </w:footnote>
  <w:footnote w:type="continuationSeparator" w:id="0">
    <w:p w:rsidR="00E10802" w:rsidRDefault="00E10802" w:rsidP="00EA005D">
      <w:pPr>
        <w:spacing w:after="0" w:line="240" w:lineRule="auto"/>
      </w:pPr>
      <w:r>
        <w:continuationSeparator/>
      </w:r>
    </w:p>
  </w:footnote>
  <w:footnote w:id="1">
    <w:p w:rsidR="00EA005D" w:rsidRDefault="00EA005D" w:rsidP="00EA005D">
      <w:pPr>
        <w:pStyle w:val="Tekstprzypisudolnego"/>
      </w:pPr>
      <w:r>
        <w:rPr>
          <w:rStyle w:val="Odwoanieprzypisudolnego"/>
        </w:rPr>
        <w:footnoteRef/>
      </w:r>
      <w:r>
        <w:t xml:space="preserve"> </w:t>
      </w:r>
      <w:r w:rsidRPr="00A94906">
        <w:rPr>
          <w:sz w:val="16"/>
          <w:szCs w:val="16"/>
        </w:rPr>
        <w:t xml:space="preserve">Tekst jednolity </w:t>
      </w:r>
      <w:r>
        <w:rPr>
          <w:sz w:val="16"/>
          <w:szCs w:val="16"/>
        </w:rPr>
        <w:t xml:space="preserve">Dz. U. z 2017 r., poz. 986, z </w:t>
      </w:r>
      <w:proofErr w:type="spellStart"/>
      <w:r>
        <w:rPr>
          <w:sz w:val="16"/>
          <w:szCs w:val="16"/>
        </w:rPr>
        <w:t>późn</w:t>
      </w:r>
      <w:proofErr w:type="spellEnd"/>
      <w:r>
        <w:rPr>
          <w:sz w:val="16"/>
          <w:szCs w:val="16"/>
        </w:rPr>
        <w:t>. zm.</w:t>
      </w:r>
      <w:r w:rsidRPr="00A94906">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313"/>
    <w:multiLevelType w:val="hybridMultilevel"/>
    <w:tmpl w:val="A21A6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02069"/>
    <w:multiLevelType w:val="hybridMultilevel"/>
    <w:tmpl w:val="029A4F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F1B2EC1"/>
    <w:multiLevelType w:val="hybridMultilevel"/>
    <w:tmpl w:val="B300AB64"/>
    <w:lvl w:ilvl="0" w:tplc="0415000F">
      <w:start w:val="1"/>
      <w:numFmt w:val="decimal"/>
      <w:lvlText w:val="%1."/>
      <w:lvlJc w:val="left"/>
      <w:pPr>
        <w:ind w:left="360" w:hanging="360"/>
      </w:pPr>
    </w:lvl>
    <w:lvl w:ilvl="1" w:tplc="C02AC74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23352E"/>
    <w:multiLevelType w:val="hybridMultilevel"/>
    <w:tmpl w:val="CB84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FF3091"/>
    <w:multiLevelType w:val="hybridMultilevel"/>
    <w:tmpl w:val="7B8C2D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AB704C"/>
    <w:multiLevelType w:val="hybridMultilevel"/>
    <w:tmpl w:val="7132FF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8E5A57"/>
    <w:multiLevelType w:val="hybridMultilevel"/>
    <w:tmpl w:val="EC0E64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913453B"/>
    <w:multiLevelType w:val="hybridMultilevel"/>
    <w:tmpl w:val="6A7C97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B8351B3"/>
    <w:multiLevelType w:val="hybridMultilevel"/>
    <w:tmpl w:val="2D34A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FCF2AFD"/>
    <w:multiLevelType w:val="hybridMultilevel"/>
    <w:tmpl w:val="9EFE1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70234A"/>
    <w:multiLevelType w:val="hybridMultilevel"/>
    <w:tmpl w:val="F1780F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E9E3857"/>
    <w:multiLevelType w:val="hybridMultilevel"/>
    <w:tmpl w:val="586CA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3"/>
  </w:num>
  <w:num w:numId="6">
    <w:abstractNumId w:val="0"/>
  </w:num>
  <w:num w:numId="7">
    <w:abstractNumId w:val="8"/>
  </w:num>
  <w:num w:numId="8">
    <w:abstractNumId w:val="10"/>
  </w:num>
  <w:num w:numId="9">
    <w:abstractNumId w:val="6"/>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5D"/>
    <w:rsid w:val="000B4789"/>
    <w:rsid w:val="000E4C27"/>
    <w:rsid w:val="00102F7E"/>
    <w:rsid w:val="001C5EDE"/>
    <w:rsid w:val="001D763E"/>
    <w:rsid w:val="001F1052"/>
    <w:rsid w:val="003E378E"/>
    <w:rsid w:val="0051112A"/>
    <w:rsid w:val="005D56DB"/>
    <w:rsid w:val="007E4966"/>
    <w:rsid w:val="00832F43"/>
    <w:rsid w:val="00877A10"/>
    <w:rsid w:val="00920287"/>
    <w:rsid w:val="00987C62"/>
    <w:rsid w:val="00B7723F"/>
    <w:rsid w:val="00C54ABB"/>
    <w:rsid w:val="00E10802"/>
    <w:rsid w:val="00E61BAF"/>
    <w:rsid w:val="00EA005D"/>
    <w:rsid w:val="00EC2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6E494-BABC-475A-B8CD-531BB5F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5E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0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05D"/>
  </w:style>
  <w:style w:type="paragraph" w:styleId="Stopka">
    <w:name w:val="footer"/>
    <w:basedOn w:val="Normalny"/>
    <w:link w:val="StopkaZnak"/>
    <w:uiPriority w:val="99"/>
    <w:unhideWhenUsed/>
    <w:rsid w:val="00EA0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05D"/>
  </w:style>
  <w:style w:type="paragraph" w:styleId="Akapitzlist">
    <w:name w:val="List Paragraph"/>
    <w:basedOn w:val="Normalny"/>
    <w:uiPriority w:val="34"/>
    <w:qFormat/>
    <w:rsid w:val="00EA005D"/>
    <w:pPr>
      <w:ind w:left="720"/>
      <w:contextualSpacing/>
    </w:pPr>
  </w:style>
  <w:style w:type="table" w:customStyle="1" w:styleId="TableGridLight1">
    <w:name w:val="Table Grid Light1"/>
    <w:basedOn w:val="Standardowy"/>
    <w:uiPriority w:val="40"/>
    <w:rsid w:val="00EA005D"/>
    <w:pPr>
      <w:spacing w:after="0" w:line="240" w:lineRule="auto"/>
    </w:pPr>
    <w:rPr>
      <w:rFonts w:ascii="Georgia" w:hAnsi="Georgia"/>
      <w:sz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iPriority w:val="99"/>
    <w:semiHidden/>
    <w:unhideWhenUsed/>
    <w:rsid w:val="00EA00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005D"/>
    <w:rPr>
      <w:sz w:val="20"/>
      <w:szCs w:val="20"/>
    </w:rPr>
  </w:style>
  <w:style w:type="character" w:styleId="Odwoanieprzypisudolnego">
    <w:name w:val="footnote reference"/>
    <w:basedOn w:val="Domylnaczcionkaakapitu"/>
    <w:uiPriority w:val="99"/>
    <w:semiHidden/>
    <w:unhideWhenUsed/>
    <w:rsid w:val="00EA005D"/>
    <w:rPr>
      <w:vertAlign w:val="superscript"/>
    </w:rPr>
  </w:style>
  <w:style w:type="paragraph" w:styleId="Tekstdymka">
    <w:name w:val="Balloon Text"/>
    <w:basedOn w:val="Normalny"/>
    <w:link w:val="TekstdymkaZnak"/>
    <w:uiPriority w:val="99"/>
    <w:semiHidden/>
    <w:unhideWhenUsed/>
    <w:rsid w:val="007E49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21144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Podrażka Agnieszka</dc:creator>
  <cp:lastModifiedBy>Andrzej Cylwik AD</cp:lastModifiedBy>
  <cp:revision>2</cp:revision>
  <cp:lastPrinted>2018-08-31T10:17:00Z</cp:lastPrinted>
  <dcterms:created xsi:type="dcterms:W3CDTF">2019-09-28T06:59:00Z</dcterms:created>
  <dcterms:modified xsi:type="dcterms:W3CDTF">2019-09-28T06:59:00Z</dcterms:modified>
</cp:coreProperties>
</file>